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B440B">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w:t>
      </w:r>
      <w:r>
        <w:rPr>
          <w:rFonts w:hint="eastAsia" w:ascii="Arial" w:hAnsi="Arial" w:cs="Arial" w:eastAsiaTheme="minorEastAsia"/>
          <w:b/>
          <w:sz w:val="24"/>
          <w:szCs w:val="24"/>
          <w:lang w:val="en-US" w:eastAsia="zh-CN"/>
        </w:rPr>
        <w:t>115</w:t>
      </w:r>
      <w:r>
        <w:rPr>
          <w:rFonts w:hint="eastAsia" w:ascii="Arial" w:hAnsi="Arial" w:cs="Arial" w:eastAsiaTheme="minorEastAsia"/>
          <w:b/>
          <w:sz w:val="24"/>
          <w:szCs w:val="24"/>
          <w:lang w:val="en-US"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ascii="Arial" w:hAnsi="Arial" w:cs="Arial" w:eastAsiaTheme="minorEastAsia"/>
          <w:b/>
          <w:sz w:val="24"/>
          <w:szCs w:val="24"/>
          <w:lang w:eastAsia="zh-CN"/>
        </w:rPr>
        <w:t>R4-2</w:t>
      </w:r>
      <w:r>
        <w:rPr>
          <w:rFonts w:hint="eastAsia" w:ascii="Arial" w:hAnsi="Arial" w:cs="Arial" w:eastAsiaTheme="minorEastAsia"/>
          <w:b/>
          <w:sz w:val="24"/>
          <w:szCs w:val="24"/>
          <w:lang w:val="en-US" w:eastAsia="zh-CN"/>
        </w:rPr>
        <w:t>508435</w:t>
      </w:r>
      <w:bookmarkStart w:id="1" w:name="_GoBack"/>
      <w:bookmarkEnd w:id="1"/>
    </w:p>
    <w:p w14:paraId="5E30231A">
      <w:pPr>
        <w:pStyle w:val="39"/>
        <w:tabs>
          <w:tab w:val="right" w:pos="9781"/>
          <w:tab w:val="right" w:pos="13323"/>
        </w:tabs>
        <w:spacing w:before="60" w:after="60"/>
        <w:outlineLvl w:val="0"/>
        <w:rPr>
          <w:rFonts w:cs="Arial"/>
          <w:sz w:val="24"/>
          <w:szCs w:val="24"/>
          <w:lang w:eastAsia="zh-CN"/>
        </w:rPr>
      </w:pPr>
      <w:r>
        <w:rPr>
          <w:rFonts w:hint="eastAsia" w:ascii="Arial" w:hAnsi="Arial" w:eastAsia="宋体" w:cs="Arial"/>
          <w:b/>
          <w:sz w:val="24"/>
          <w:szCs w:val="24"/>
          <w:lang w:eastAsia="zh-CN"/>
        </w:rPr>
        <w:t>Malta, MT</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1</w:t>
      </w:r>
      <w:r>
        <w:rPr>
          <w:rFonts w:hint="eastAsia" w:ascii="Arial" w:hAnsi="Arial" w:eastAsia="宋体" w:cs="Arial"/>
          <w:b/>
          <w:sz w:val="24"/>
          <w:szCs w:val="24"/>
          <w:lang w:val="en-US" w:eastAsia="zh-CN"/>
        </w:rPr>
        <w:t>9</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2</w:t>
      </w:r>
      <w:r>
        <w:rPr>
          <w:rFonts w:hint="eastAsia" w:ascii="Arial" w:hAnsi="Arial" w:eastAsia="宋体" w:cs="Arial"/>
          <w:b/>
          <w:sz w:val="24"/>
          <w:szCs w:val="24"/>
          <w:lang w:val="en-US" w:eastAsia="zh-CN"/>
        </w:rPr>
        <w:t>3</w:t>
      </w:r>
      <w:r>
        <w:rPr>
          <w:rFonts w:hint="eastAsia" w:ascii="Arial" w:hAnsi="Arial" w:eastAsia="宋体" w:cs="Arial"/>
          <w:b/>
          <w:sz w:val="24"/>
          <w:szCs w:val="24"/>
          <w:vertAlign w:val="superscript"/>
          <w:lang w:val="en-US" w:eastAsia="zh-CN"/>
        </w:rPr>
        <w:t>rd</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May</w:t>
      </w:r>
      <w:r>
        <w:rPr>
          <w:rFonts w:hint="eastAsia" w:ascii="Arial" w:hAnsi="Arial" w:eastAsia="宋体" w:cs="Arial"/>
          <w:b/>
          <w:sz w:val="24"/>
          <w:szCs w:val="24"/>
          <w:lang w:eastAsia="zh-CN"/>
        </w:rPr>
        <w:t>, 2025</w:t>
      </w:r>
    </w:p>
    <w:p w14:paraId="52E6C119">
      <w:pPr>
        <w:spacing w:after="120"/>
        <w:ind w:left="1985" w:hanging="1985"/>
        <w:rPr>
          <w:rFonts w:ascii="Arial" w:hAnsi="Arial" w:eastAsia="MS Mincho" w:cs="Arial"/>
          <w:b/>
          <w:sz w:val="22"/>
        </w:rPr>
      </w:pPr>
    </w:p>
    <w:p w14:paraId="619F2A6B">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7.12.1</w:t>
      </w:r>
    </w:p>
    <w:p w14:paraId="0E403F3D">
      <w:pPr>
        <w:spacing w:after="120"/>
        <w:ind w:left="1985" w:hanging="1985"/>
        <w:rPr>
          <w:rFonts w:ascii="Arial" w:hAnsi="Arial" w:cs="Arial" w:eastAsiaTheme="minorEastAsia"/>
          <w:color w:val="000000"/>
          <w:sz w:val="22"/>
          <w:lang w:val="en-US" w:eastAsia="zh-CN"/>
        </w:rPr>
      </w:pPr>
      <w:r>
        <w:rPr>
          <w:rFonts w:ascii="Arial" w:hAnsi="Arial" w:eastAsia="MS Mincho" w:cs="Arial"/>
          <w:b/>
          <w:sz w:val="22"/>
        </w:rPr>
        <w:t>Source:</w:t>
      </w:r>
      <w:r>
        <w:rPr>
          <w:rFonts w:ascii="Arial" w:hAnsi="Arial" w:eastAsia="MS Mincho" w:cs="Arial"/>
          <w:b/>
          <w:sz w:val="22"/>
        </w:rPr>
        <w:tab/>
      </w:r>
      <w:r>
        <w:rPr>
          <w:rFonts w:hint="eastAsia" w:ascii="Arial" w:hAnsi="Arial" w:cs="Arial" w:eastAsiaTheme="minorEastAsia"/>
          <w:color w:val="000000"/>
          <w:sz w:val="22"/>
          <w:lang w:val="en-US" w:eastAsia="zh-CN"/>
        </w:rPr>
        <w:t>Moderator (CMCC)</w:t>
      </w:r>
    </w:p>
    <w:p w14:paraId="5A34FEE8">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 Coffee break discussion minutes on NR_ATG_enh</w:t>
      </w:r>
    </w:p>
    <w:p w14:paraId="5E3C5B39">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14:paraId="2EFA872C">
      <w:pPr>
        <w:rPr>
          <w:rFonts w:hint="eastAsia"/>
          <w:b/>
          <w:color w:val="0070C0"/>
          <w:u w:val="single"/>
          <w:lang w:val="en-US" w:eastAsia="zh-CN"/>
        </w:rPr>
      </w:pPr>
    </w:p>
    <w:p w14:paraId="747FCC41">
      <w:pPr>
        <w:rPr>
          <w:rFonts w:hint="default" w:ascii="Times New Roman" w:hAnsi="Times New Roman" w:cs="Times New Roman"/>
          <w:b/>
          <w:color w:val="0070C0"/>
          <w:u w:val="single"/>
          <w:lang w:val="en-US" w:eastAsia="zh-CN"/>
        </w:rPr>
      </w:pPr>
      <w:r>
        <w:rPr>
          <w:rFonts w:hint="default" w:ascii="Times New Roman" w:hAnsi="Times New Roman" w:cs="Times New Roman"/>
          <w:b/>
          <w:color w:val="0070C0"/>
          <w:u w:val="single"/>
          <w:lang w:val="en-US" w:eastAsia="zh-CN"/>
        </w:rPr>
        <w:t>Issue 1-1-</w:t>
      </w:r>
      <w:r>
        <w:rPr>
          <w:rFonts w:hint="eastAsia" w:ascii="Times New Roman" w:hAnsi="Times New Roman" w:cs="Times New Roman"/>
          <w:b/>
          <w:color w:val="0070C0"/>
          <w:u w:val="single"/>
          <w:lang w:val="en-US" w:eastAsia="zh-CN"/>
        </w:rPr>
        <w:t>1</w:t>
      </w:r>
      <w:r>
        <w:rPr>
          <w:rFonts w:hint="default" w:ascii="Times New Roman" w:hAnsi="Times New Roman" w:cs="Times New Roman"/>
          <w:b/>
          <w:color w:val="0070C0"/>
          <w:u w:val="single"/>
          <w:lang w:val="en-US" w:eastAsia="zh-CN"/>
        </w:rPr>
        <w:t>: UE Beam Type capability signaling</w:t>
      </w:r>
    </w:p>
    <w:p w14:paraId="077C105C">
      <w:pPr>
        <w:rPr>
          <w:rFonts w:hint="eastAsia"/>
          <w:b/>
          <w:color w:val="0070C0"/>
          <w:u w:val="single"/>
          <w:lang w:val="en-US" w:eastAsia="zh-CN"/>
        </w:rPr>
      </w:pPr>
      <w:r>
        <w:rPr>
          <w:rFonts w:hint="eastAsia"/>
          <w:b/>
          <w:color w:val="0070C0"/>
          <w:u w:val="single"/>
          <w:lang w:val="en-US" w:eastAsia="zh-CN"/>
        </w:rPr>
        <w:t>Further check with following:</w:t>
      </w:r>
    </w:p>
    <w:p w14:paraId="325BC1C9">
      <w:pPr>
        <w:rPr>
          <w:rFonts w:hint="default"/>
          <w:b/>
          <w:color w:val="0070C0"/>
          <w:highlight w:val="yellow"/>
          <w:u w:val="single"/>
          <w:lang w:val="en-US" w:eastAsia="zh-CN"/>
        </w:rPr>
        <w:sectPr>
          <w:footnotePr>
            <w:numRestart w:val="eachSect"/>
          </w:footnotePr>
          <w:pgSz w:w="11907" w:h="16840"/>
          <w:pgMar w:top="1133" w:right="1133" w:bottom="1416" w:left="1133" w:header="850" w:footer="340" w:gutter="0"/>
          <w:cols w:space="720" w:num="1"/>
          <w:formProt w:val="0"/>
          <w:docGrid w:linePitch="272" w:charSpace="0"/>
        </w:sectPr>
      </w:pPr>
      <w:r>
        <w:rPr>
          <w:rFonts w:hint="eastAsia"/>
          <w:b/>
          <w:color w:val="0070C0"/>
          <w:highlight w:val="yellow"/>
          <w:u w:val="single"/>
          <w:lang w:val="en-US" w:eastAsia="zh-CN"/>
        </w:rPr>
        <w:t>Tentative agreement:</w:t>
      </w:r>
    </w:p>
    <w:tbl>
      <w:tblPr>
        <w:tblStyle w:val="50"/>
        <w:tblW w:w="14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1828"/>
        <w:gridCol w:w="854"/>
        <w:gridCol w:w="1161"/>
        <w:gridCol w:w="1323"/>
        <w:gridCol w:w="1439"/>
        <w:gridCol w:w="646"/>
        <w:gridCol w:w="1077"/>
        <w:gridCol w:w="1000"/>
        <w:gridCol w:w="1392"/>
        <w:gridCol w:w="1446"/>
        <w:gridCol w:w="1216"/>
      </w:tblGrid>
      <w:tr w14:paraId="3CF1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trPr>
        <w:tc>
          <w:tcPr>
            <w:tcW w:w="917" w:type="dxa"/>
            <w:shd w:val="clear" w:color="auto" w:fill="auto"/>
          </w:tcPr>
          <w:p w14:paraId="3A41C94B">
            <w:pPr>
              <w:keepNext/>
              <w:keepLines/>
              <w:overflowPunct w:val="0"/>
              <w:autoSpaceDE w:val="0"/>
              <w:autoSpaceDN w:val="0"/>
              <w:adjustRightInd w:val="0"/>
              <w:jc w:val="center"/>
              <w:textAlignment w:val="baseline"/>
              <w:rPr>
                <w:rFonts w:ascii="Arial" w:hAnsi="Arial" w:eastAsia="Times New Roman" w:cs="Arial"/>
                <w:b/>
                <w:color w:val="0070C0"/>
                <w:sz w:val="18"/>
              </w:rPr>
            </w:pPr>
            <w:r>
              <w:rPr>
                <w:rFonts w:ascii="Arial" w:hAnsi="Arial" w:eastAsia="Times New Roman" w:cs="Arial"/>
                <w:b/>
                <w:color w:val="0070C0"/>
                <w:sz w:val="18"/>
              </w:rPr>
              <w:t>Feature group</w:t>
            </w:r>
          </w:p>
        </w:tc>
        <w:tc>
          <w:tcPr>
            <w:tcW w:w="1828" w:type="dxa"/>
            <w:shd w:val="clear" w:color="auto" w:fill="auto"/>
          </w:tcPr>
          <w:p w14:paraId="54BA15AE">
            <w:pPr>
              <w:keepNext/>
              <w:keepLines/>
              <w:overflowPunct w:val="0"/>
              <w:autoSpaceDE w:val="0"/>
              <w:autoSpaceDN w:val="0"/>
              <w:adjustRightInd w:val="0"/>
              <w:jc w:val="center"/>
              <w:textAlignment w:val="baseline"/>
              <w:rPr>
                <w:rFonts w:ascii="Arial" w:hAnsi="Arial" w:cs="Arial"/>
                <w:b/>
                <w:color w:val="0070C0"/>
                <w:sz w:val="18"/>
              </w:rPr>
            </w:pPr>
            <w:r>
              <w:rPr>
                <w:rFonts w:ascii="Arial" w:hAnsi="Arial" w:eastAsia="Times New Roman" w:cs="Arial"/>
                <w:b/>
                <w:color w:val="0070C0"/>
                <w:sz w:val="18"/>
              </w:rPr>
              <w:t>Components</w:t>
            </w:r>
          </w:p>
          <w:p w14:paraId="7BC286AB">
            <w:pPr>
              <w:keepNext/>
              <w:keepLines/>
              <w:overflowPunct w:val="0"/>
              <w:autoSpaceDE w:val="0"/>
              <w:autoSpaceDN w:val="0"/>
              <w:adjustRightInd w:val="0"/>
              <w:jc w:val="center"/>
              <w:textAlignment w:val="baseline"/>
              <w:rPr>
                <w:rFonts w:ascii="Arial" w:hAnsi="Arial" w:cs="Arial"/>
                <w:b/>
                <w:color w:val="0070C0"/>
                <w:sz w:val="18"/>
              </w:rPr>
            </w:pPr>
          </w:p>
        </w:tc>
        <w:tc>
          <w:tcPr>
            <w:tcW w:w="854" w:type="dxa"/>
            <w:shd w:val="clear" w:color="auto" w:fill="auto"/>
          </w:tcPr>
          <w:p w14:paraId="3CCF9FEC">
            <w:pPr>
              <w:keepNext/>
              <w:keepLines/>
              <w:overflowPunct w:val="0"/>
              <w:autoSpaceDE w:val="0"/>
              <w:autoSpaceDN w:val="0"/>
              <w:adjustRightInd w:val="0"/>
              <w:jc w:val="center"/>
              <w:textAlignment w:val="baseline"/>
              <w:rPr>
                <w:rFonts w:ascii="Arial" w:hAnsi="Arial" w:eastAsia="Times New Roman" w:cs="Arial"/>
                <w:b/>
                <w:color w:val="0070C0"/>
                <w:sz w:val="18"/>
              </w:rPr>
            </w:pPr>
            <w:r>
              <w:rPr>
                <w:rFonts w:ascii="Arial" w:hAnsi="Arial" w:eastAsia="Times New Roman" w:cs="Arial"/>
                <w:b/>
                <w:color w:val="0070C0"/>
                <w:sz w:val="18"/>
              </w:rPr>
              <w:t>Prerequisite feature groups</w:t>
            </w:r>
          </w:p>
        </w:tc>
        <w:tc>
          <w:tcPr>
            <w:tcW w:w="1161" w:type="dxa"/>
            <w:shd w:val="clear" w:color="auto" w:fill="auto"/>
          </w:tcPr>
          <w:p w14:paraId="1374F9A1">
            <w:pPr>
              <w:keepNext/>
              <w:keepLines/>
              <w:overflowPunct w:val="0"/>
              <w:autoSpaceDE w:val="0"/>
              <w:autoSpaceDN w:val="0"/>
              <w:adjustRightInd w:val="0"/>
              <w:jc w:val="center"/>
              <w:textAlignment w:val="baseline"/>
              <w:rPr>
                <w:rFonts w:ascii="Arial" w:hAnsi="Arial" w:eastAsia="Times New Roman" w:cs="Arial"/>
                <w:b/>
                <w:color w:val="0070C0"/>
                <w:sz w:val="18"/>
              </w:rPr>
            </w:pPr>
            <w:r>
              <w:rPr>
                <w:rFonts w:ascii="Arial" w:hAnsi="Arial" w:eastAsia="Times New Roman" w:cs="Arial"/>
                <w:b/>
                <w:color w:val="0070C0"/>
                <w:sz w:val="18"/>
              </w:rPr>
              <w:t>Need for the gNB to know if the feature is supported</w:t>
            </w:r>
          </w:p>
        </w:tc>
        <w:tc>
          <w:tcPr>
            <w:tcW w:w="1323" w:type="dxa"/>
            <w:shd w:val="clear" w:color="auto" w:fill="auto"/>
          </w:tcPr>
          <w:p w14:paraId="750F40EA">
            <w:pPr>
              <w:keepNext/>
              <w:keepLines/>
              <w:overflowPunct w:val="0"/>
              <w:autoSpaceDE w:val="0"/>
              <w:autoSpaceDN w:val="0"/>
              <w:adjustRightInd w:val="0"/>
              <w:jc w:val="center"/>
              <w:textAlignment w:val="baseline"/>
              <w:rPr>
                <w:rFonts w:ascii="Arial" w:hAnsi="Arial" w:eastAsia="Times New Roman" w:cs="Arial"/>
                <w:b/>
                <w:color w:val="0070C0"/>
                <w:sz w:val="18"/>
              </w:rPr>
            </w:pPr>
            <w:r>
              <w:rPr>
                <w:rFonts w:ascii="Arial" w:hAnsi="Arial" w:eastAsia="Gulim" w:cs="Arial"/>
                <w:b/>
                <w:color w:val="0070C0"/>
                <w:sz w:val="18"/>
              </w:rPr>
              <w:t xml:space="preserve">Applicable to </w:t>
            </w:r>
            <w:r>
              <w:rPr>
                <w:rFonts w:ascii="Arial" w:hAnsi="Arial" w:eastAsia="Times New Roman" w:cs="Arial"/>
                <w:b/>
                <w:color w:val="0070C0"/>
                <w:sz w:val="18"/>
              </w:rPr>
              <w:t>the capability signalling exchange between UEs (V2X WI only)”.</w:t>
            </w:r>
          </w:p>
        </w:tc>
        <w:tc>
          <w:tcPr>
            <w:tcW w:w="1439" w:type="dxa"/>
          </w:tcPr>
          <w:p w14:paraId="584EDBA9">
            <w:pPr>
              <w:keepNext/>
              <w:keepLines/>
              <w:rPr>
                <w:rFonts w:ascii="Arial" w:hAnsi="Arial" w:cs="Arial"/>
                <w:b/>
                <w:color w:val="0070C0"/>
                <w:sz w:val="18"/>
              </w:rPr>
            </w:pPr>
            <w:r>
              <w:rPr>
                <w:rFonts w:ascii="Arial" w:hAnsi="Arial" w:cs="Arial"/>
                <w:b/>
                <w:color w:val="0070C0"/>
                <w:sz w:val="18"/>
              </w:rPr>
              <w:t>Consequence if the feature is not supported by the UE</w:t>
            </w:r>
          </w:p>
        </w:tc>
        <w:tc>
          <w:tcPr>
            <w:tcW w:w="646" w:type="dxa"/>
            <w:shd w:val="clear" w:color="auto" w:fill="auto"/>
          </w:tcPr>
          <w:p w14:paraId="3DC92FF2">
            <w:pPr>
              <w:keepNext/>
              <w:keepLines/>
              <w:rPr>
                <w:rFonts w:ascii="Arial" w:hAnsi="Arial" w:cs="Arial"/>
                <w:b/>
                <w:color w:val="0070C0"/>
                <w:sz w:val="18"/>
              </w:rPr>
            </w:pPr>
            <w:r>
              <w:rPr>
                <w:rFonts w:ascii="Arial" w:hAnsi="Arial" w:cs="Arial"/>
                <w:b/>
                <w:color w:val="0070C0"/>
                <w:sz w:val="18"/>
              </w:rPr>
              <w:t>Type</w:t>
            </w:r>
          </w:p>
        </w:tc>
        <w:tc>
          <w:tcPr>
            <w:tcW w:w="1077" w:type="dxa"/>
            <w:shd w:val="clear" w:color="auto" w:fill="auto"/>
          </w:tcPr>
          <w:p w14:paraId="574DEAAD">
            <w:pPr>
              <w:keepNext/>
              <w:keepLines/>
              <w:overflowPunct w:val="0"/>
              <w:autoSpaceDE w:val="0"/>
              <w:autoSpaceDN w:val="0"/>
              <w:adjustRightInd w:val="0"/>
              <w:jc w:val="center"/>
              <w:textAlignment w:val="baseline"/>
              <w:rPr>
                <w:rFonts w:ascii="Arial" w:hAnsi="Arial" w:eastAsia="Times New Roman" w:cs="Arial"/>
                <w:b/>
                <w:color w:val="0070C0"/>
                <w:sz w:val="18"/>
              </w:rPr>
            </w:pPr>
            <w:r>
              <w:rPr>
                <w:rFonts w:ascii="Arial" w:hAnsi="Arial" w:eastAsia="Times New Roman" w:cs="Arial"/>
                <w:b/>
                <w:color w:val="0070C0"/>
                <w:sz w:val="18"/>
              </w:rPr>
              <w:t>Need of FDD/TDD differentiation</w:t>
            </w:r>
          </w:p>
        </w:tc>
        <w:tc>
          <w:tcPr>
            <w:tcW w:w="1000" w:type="dxa"/>
            <w:shd w:val="clear" w:color="auto" w:fill="auto"/>
          </w:tcPr>
          <w:p w14:paraId="0235C990">
            <w:pPr>
              <w:keepNext/>
              <w:keepLines/>
              <w:overflowPunct w:val="0"/>
              <w:autoSpaceDE w:val="0"/>
              <w:autoSpaceDN w:val="0"/>
              <w:adjustRightInd w:val="0"/>
              <w:jc w:val="center"/>
              <w:textAlignment w:val="baseline"/>
              <w:rPr>
                <w:rFonts w:ascii="Arial" w:hAnsi="Arial" w:eastAsia="Times New Roman" w:cs="Arial"/>
                <w:b/>
                <w:color w:val="0070C0"/>
                <w:sz w:val="18"/>
              </w:rPr>
            </w:pPr>
            <w:r>
              <w:rPr>
                <w:rFonts w:ascii="Arial" w:hAnsi="Arial" w:eastAsia="Times New Roman" w:cs="Arial"/>
                <w:b/>
                <w:color w:val="0070C0"/>
                <w:sz w:val="18"/>
              </w:rPr>
              <w:t>Need of FR1/FR2 differentiation</w:t>
            </w:r>
          </w:p>
        </w:tc>
        <w:tc>
          <w:tcPr>
            <w:tcW w:w="1392" w:type="dxa"/>
          </w:tcPr>
          <w:p w14:paraId="131B4339">
            <w:pPr>
              <w:keepNext/>
              <w:keepLines/>
              <w:overflowPunct w:val="0"/>
              <w:autoSpaceDE w:val="0"/>
              <w:autoSpaceDN w:val="0"/>
              <w:adjustRightInd w:val="0"/>
              <w:jc w:val="center"/>
              <w:textAlignment w:val="baseline"/>
              <w:rPr>
                <w:rFonts w:ascii="Arial" w:hAnsi="Arial" w:eastAsia="Times New Roman" w:cs="Arial"/>
                <w:b/>
                <w:color w:val="0070C0"/>
                <w:sz w:val="18"/>
              </w:rPr>
            </w:pPr>
            <w:r>
              <w:rPr>
                <w:rFonts w:ascii="Arial" w:hAnsi="Arial" w:eastAsia="Times New Roman" w:cs="Arial"/>
                <w:b/>
                <w:color w:val="0070C0"/>
                <w:sz w:val="18"/>
              </w:rPr>
              <w:t>Capability interpretation for mixture of FDD/TDD and/or FR1/FR2</w:t>
            </w:r>
          </w:p>
        </w:tc>
        <w:tc>
          <w:tcPr>
            <w:tcW w:w="1446" w:type="dxa"/>
            <w:shd w:val="clear" w:color="auto" w:fill="auto"/>
          </w:tcPr>
          <w:p w14:paraId="015F0E3F">
            <w:pPr>
              <w:keepNext/>
              <w:keepLines/>
              <w:overflowPunct w:val="0"/>
              <w:autoSpaceDE w:val="0"/>
              <w:autoSpaceDN w:val="0"/>
              <w:adjustRightInd w:val="0"/>
              <w:jc w:val="center"/>
              <w:textAlignment w:val="baseline"/>
              <w:rPr>
                <w:rFonts w:ascii="Arial" w:hAnsi="Arial" w:eastAsia="Times New Roman" w:cs="Arial"/>
                <w:b/>
                <w:color w:val="0070C0"/>
                <w:sz w:val="18"/>
              </w:rPr>
            </w:pPr>
            <w:r>
              <w:rPr>
                <w:rFonts w:ascii="Arial" w:hAnsi="Arial" w:eastAsia="Times New Roman" w:cs="Arial"/>
                <w:b/>
                <w:color w:val="0070C0"/>
                <w:sz w:val="18"/>
              </w:rPr>
              <w:t>Note</w:t>
            </w:r>
          </w:p>
        </w:tc>
        <w:tc>
          <w:tcPr>
            <w:tcW w:w="1216" w:type="dxa"/>
            <w:shd w:val="clear" w:color="auto" w:fill="auto"/>
          </w:tcPr>
          <w:p w14:paraId="75780914">
            <w:pPr>
              <w:keepNext/>
              <w:keepLines/>
              <w:overflowPunct w:val="0"/>
              <w:autoSpaceDE w:val="0"/>
              <w:autoSpaceDN w:val="0"/>
              <w:adjustRightInd w:val="0"/>
              <w:jc w:val="center"/>
              <w:textAlignment w:val="baseline"/>
              <w:rPr>
                <w:rFonts w:ascii="Arial" w:hAnsi="Arial" w:eastAsia="Times New Roman" w:cs="Arial"/>
                <w:b/>
                <w:color w:val="0070C0"/>
                <w:sz w:val="18"/>
              </w:rPr>
            </w:pPr>
            <w:r>
              <w:rPr>
                <w:rFonts w:ascii="Arial" w:hAnsi="Arial" w:eastAsia="Times New Roman" w:cs="Arial"/>
                <w:b/>
                <w:color w:val="0070C0"/>
                <w:sz w:val="18"/>
              </w:rPr>
              <w:t>Mandatory/Optional</w:t>
            </w:r>
          </w:p>
        </w:tc>
      </w:tr>
      <w:tr w14:paraId="42116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dxa"/>
            <w:shd w:val="clear" w:color="auto" w:fill="auto"/>
          </w:tcPr>
          <w:p w14:paraId="1D1D3B06">
            <w:pPr>
              <w:keepNext/>
              <w:keepLines/>
              <w:overflowPunct w:val="0"/>
              <w:autoSpaceDE w:val="0"/>
              <w:autoSpaceDN w:val="0"/>
              <w:adjustRightInd w:val="0"/>
              <w:textAlignment w:val="baseline"/>
              <w:rPr>
                <w:rFonts w:hint="default" w:ascii="Arial" w:hAnsi="Arial" w:cs="Arial"/>
                <w:color w:val="0070C0"/>
                <w:sz w:val="18"/>
                <w:highlight w:val="none"/>
                <w:lang w:val="en-US"/>
              </w:rPr>
            </w:pPr>
            <w:r>
              <w:rPr>
                <w:rFonts w:hint="default" w:ascii="Arial" w:hAnsi="Arial" w:cs="Arial" w:eastAsiaTheme="minorEastAsia"/>
                <w:color w:val="0070C0"/>
                <w:sz w:val="18"/>
                <w:szCs w:val="18"/>
                <w:highlight w:val="none"/>
                <w:lang w:val="en-US" w:eastAsia="zh-CN"/>
              </w:rPr>
              <w:t>Rx beam</w:t>
            </w:r>
            <w:r>
              <w:rPr>
                <w:rFonts w:hint="eastAsia" w:ascii="Arial" w:hAnsi="Arial" w:cs="Arial" w:eastAsiaTheme="minorEastAsia"/>
                <w:color w:val="0070C0"/>
                <w:sz w:val="18"/>
                <w:szCs w:val="18"/>
                <w:highlight w:val="none"/>
                <w:lang w:val="en-US" w:eastAsia="zh-CN"/>
              </w:rPr>
              <w:t xml:space="preserve"> Type</w:t>
            </w:r>
          </w:p>
        </w:tc>
        <w:tc>
          <w:tcPr>
            <w:tcW w:w="1828" w:type="dxa"/>
            <w:shd w:val="clear" w:color="auto" w:fill="auto"/>
          </w:tcPr>
          <w:p w14:paraId="39B18A5F">
            <w:pPr>
              <w:keepNext/>
              <w:keepLines/>
              <w:overflowPunct w:val="0"/>
              <w:autoSpaceDE w:val="0"/>
              <w:autoSpaceDN w:val="0"/>
              <w:adjustRightInd w:val="0"/>
              <w:textAlignment w:val="baseline"/>
              <w:rPr>
                <w:rFonts w:ascii="Arial" w:hAnsi="Arial" w:cs="Arial"/>
                <w:color w:val="0070C0"/>
                <w:sz w:val="18"/>
                <w:highlight w:val="none"/>
              </w:rPr>
            </w:pPr>
            <w:r>
              <w:rPr>
                <w:rFonts w:hint="eastAsia" w:ascii="Arial" w:hAnsi="Arial" w:cs="Arial"/>
                <w:color w:val="0070C0"/>
                <w:sz w:val="18"/>
                <w:highlight w:val="none"/>
              </w:rPr>
              <w:t xml:space="preserve">Indicates whether the UE supports one common Rx beam </w:t>
            </w:r>
            <w:r>
              <w:rPr>
                <w:rFonts w:hint="eastAsia" w:ascii="Arial" w:hAnsi="Arial" w:cs="Arial"/>
                <w:color w:val="0070C0"/>
                <w:sz w:val="18"/>
                <w:highlight w:val="none"/>
                <w:lang w:val="en-US" w:eastAsia="zh-CN"/>
              </w:rPr>
              <w:t xml:space="preserve">or </w:t>
            </w:r>
            <w:r>
              <w:rPr>
                <w:rFonts w:hint="eastAsia" w:ascii="Arial" w:hAnsi="Arial" w:cs="Arial"/>
                <w:color w:val="0070C0"/>
                <w:sz w:val="18"/>
                <w:highlight w:val="none"/>
              </w:rPr>
              <w:t>two simultaneous separate Rx beams</w:t>
            </w:r>
            <w:r>
              <w:rPr>
                <w:rFonts w:hint="eastAsia" w:ascii="Arial" w:hAnsi="Arial" w:cs="Arial"/>
                <w:color w:val="0070C0"/>
                <w:sz w:val="18"/>
                <w:highlight w:val="none"/>
                <w:lang w:val="en-US" w:eastAsia="zh-CN"/>
              </w:rPr>
              <w:t xml:space="preserve"> </w:t>
            </w:r>
            <w:r>
              <w:rPr>
                <w:rFonts w:hint="eastAsia" w:ascii="Arial" w:hAnsi="Arial" w:cs="Arial"/>
                <w:color w:val="0070C0"/>
                <w:sz w:val="18"/>
                <w:highlight w:val="none"/>
              </w:rPr>
              <w:t>when UE capable of antennaArrayType-r18 on both PCC and SCC.</w:t>
            </w:r>
          </w:p>
        </w:tc>
        <w:tc>
          <w:tcPr>
            <w:tcW w:w="854" w:type="dxa"/>
            <w:shd w:val="clear" w:color="auto" w:fill="auto"/>
          </w:tcPr>
          <w:p w14:paraId="3557088E">
            <w:pPr>
              <w:keepNext/>
              <w:keepLines/>
              <w:overflowPunct w:val="0"/>
              <w:autoSpaceDE w:val="0"/>
              <w:autoSpaceDN w:val="0"/>
              <w:adjustRightInd w:val="0"/>
              <w:jc w:val="center"/>
              <w:textAlignment w:val="baseline"/>
              <w:rPr>
                <w:rFonts w:ascii="Arial" w:hAnsi="Arial" w:eastAsia="Times New Roman" w:cs="Arial"/>
                <w:b/>
                <w:color w:val="0070C0"/>
                <w:sz w:val="18"/>
              </w:rPr>
            </w:pPr>
          </w:p>
        </w:tc>
        <w:tc>
          <w:tcPr>
            <w:tcW w:w="1161" w:type="dxa"/>
            <w:shd w:val="clear" w:color="auto" w:fill="auto"/>
          </w:tcPr>
          <w:p w14:paraId="5FFA1C67">
            <w:pPr>
              <w:keepNext/>
              <w:keepLines/>
              <w:overflowPunct w:val="0"/>
              <w:autoSpaceDE w:val="0"/>
              <w:autoSpaceDN w:val="0"/>
              <w:adjustRightInd w:val="0"/>
              <w:jc w:val="center"/>
              <w:textAlignment w:val="baseline"/>
              <w:rPr>
                <w:rFonts w:hint="default" w:ascii="Arial" w:hAnsi="Arial" w:eastAsia="宋体" w:cs="Arial"/>
                <w:color w:val="0070C0"/>
                <w:sz w:val="18"/>
                <w:lang w:val="en-US" w:eastAsia="zh-CN"/>
              </w:rPr>
            </w:pPr>
            <w:r>
              <w:rPr>
                <w:rFonts w:hint="eastAsia" w:ascii="Arial" w:hAnsi="Arial" w:eastAsia="宋体" w:cs="Arial"/>
                <w:color w:val="0070C0"/>
                <w:sz w:val="18"/>
                <w:lang w:val="en-US" w:eastAsia="zh-CN"/>
              </w:rPr>
              <w:t>yes</w:t>
            </w:r>
          </w:p>
        </w:tc>
        <w:tc>
          <w:tcPr>
            <w:tcW w:w="1323" w:type="dxa"/>
            <w:shd w:val="clear" w:color="auto" w:fill="auto"/>
          </w:tcPr>
          <w:p w14:paraId="7F73284B">
            <w:pPr>
              <w:keepNext/>
              <w:keepLines/>
              <w:overflowPunct w:val="0"/>
              <w:autoSpaceDE w:val="0"/>
              <w:autoSpaceDN w:val="0"/>
              <w:adjustRightInd w:val="0"/>
              <w:jc w:val="center"/>
              <w:textAlignment w:val="baseline"/>
              <w:rPr>
                <w:rFonts w:hint="default" w:ascii="Arial" w:hAnsi="Arial" w:eastAsia="宋体" w:cs="Arial"/>
                <w:b/>
                <w:color w:val="0070C0"/>
                <w:sz w:val="18"/>
                <w:lang w:val="en-US" w:eastAsia="zh-CN"/>
              </w:rPr>
            </w:pPr>
            <w:r>
              <w:rPr>
                <w:rFonts w:hint="eastAsia" w:ascii="Arial" w:hAnsi="Arial" w:eastAsia="宋体" w:cs="Arial"/>
                <w:color w:val="0070C0"/>
                <w:sz w:val="18"/>
                <w:lang w:val="en-US" w:eastAsia="zh-CN"/>
              </w:rPr>
              <w:t>N/A</w:t>
            </w:r>
          </w:p>
        </w:tc>
        <w:tc>
          <w:tcPr>
            <w:tcW w:w="1439" w:type="dxa"/>
          </w:tcPr>
          <w:p w14:paraId="20CCAB33">
            <w:pPr>
              <w:keepNext/>
              <w:keepLines/>
              <w:rPr>
                <w:rFonts w:ascii="Arial" w:hAnsi="Arial" w:cs="Arial"/>
                <w:color w:val="0070C0"/>
                <w:sz w:val="18"/>
              </w:rPr>
            </w:pPr>
            <w:r>
              <w:rPr>
                <w:rFonts w:ascii="Arial" w:hAnsi="Arial" w:cs="Arial"/>
                <w:color w:val="0070C0"/>
                <w:sz w:val="18"/>
                <w:szCs w:val="18"/>
              </w:rPr>
              <w:t xml:space="preserve">If UE does not support the capability, network does not know ATG UE’s </w:t>
            </w:r>
            <w:r>
              <w:rPr>
                <w:rFonts w:hint="eastAsia" w:ascii="Arial" w:hAnsi="Arial" w:eastAsia="宋体" w:cs="Arial"/>
                <w:color w:val="0070C0"/>
                <w:sz w:val="18"/>
                <w:szCs w:val="18"/>
                <w:lang w:val="en-US" w:eastAsia="zh-CN"/>
              </w:rPr>
              <w:t>reception capability</w:t>
            </w:r>
            <w:r>
              <w:rPr>
                <w:rFonts w:ascii="Arial" w:hAnsi="Arial" w:cs="Arial"/>
                <w:color w:val="0070C0"/>
                <w:sz w:val="18"/>
                <w:szCs w:val="18"/>
              </w:rPr>
              <w:t>.</w:t>
            </w:r>
          </w:p>
        </w:tc>
        <w:tc>
          <w:tcPr>
            <w:tcW w:w="646" w:type="dxa"/>
            <w:shd w:val="clear" w:color="auto" w:fill="auto"/>
          </w:tcPr>
          <w:p w14:paraId="15A74DFB">
            <w:pPr>
              <w:keepNext/>
              <w:keepLines/>
              <w:rPr>
                <w:rFonts w:hint="default" w:ascii="Arial" w:hAnsi="Arial" w:eastAsia="宋体" w:cs="Arial"/>
                <w:color w:val="0070C0"/>
                <w:sz w:val="18"/>
                <w:highlight w:val="none"/>
                <w:lang w:val="en-US" w:eastAsia="zh-CN"/>
              </w:rPr>
            </w:pPr>
            <w:r>
              <w:rPr>
                <w:rFonts w:hint="eastAsia" w:ascii="Arial" w:hAnsi="Arial" w:eastAsia="宋体" w:cs="Arial"/>
                <w:color w:val="0070C0"/>
                <w:sz w:val="18"/>
                <w:highlight w:val="none"/>
                <w:lang w:val="en-US" w:eastAsia="zh-CN"/>
              </w:rPr>
              <w:t>Per BC</w:t>
            </w:r>
          </w:p>
        </w:tc>
        <w:tc>
          <w:tcPr>
            <w:tcW w:w="1077" w:type="dxa"/>
            <w:shd w:val="clear" w:color="auto" w:fill="auto"/>
          </w:tcPr>
          <w:p w14:paraId="7441FB12">
            <w:pPr>
              <w:keepNext/>
              <w:keepLines/>
              <w:overflowPunct w:val="0"/>
              <w:autoSpaceDE w:val="0"/>
              <w:autoSpaceDN w:val="0"/>
              <w:adjustRightInd w:val="0"/>
              <w:jc w:val="center"/>
              <w:textAlignment w:val="baseline"/>
              <w:rPr>
                <w:rFonts w:hint="default" w:ascii="Arial" w:hAnsi="Arial" w:eastAsia="宋体" w:cs="Arial"/>
                <w:color w:val="0070C0"/>
                <w:sz w:val="18"/>
                <w:highlight w:val="none"/>
                <w:lang w:val="en-US" w:eastAsia="zh-CN"/>
              </w:rPr>
            </w:pPr>
            <w:r>
              <w:rPr>
                <w:rFonts w:hint="eastAsia" w:ascii="Arial" w:hAnsi="Arial" w:eastAsia="宋体" w:cs="Arial"/>
                <w:color w:val="0070C0"/>
                <w:sz w:val="18"/>
                <w:highlight w:val="none"/>
                <w:lang w:val="en-US" w:eastAsia="zh-CN"/>
              </w:rPr>
              <w:t>No</w:t>
            </w:r>
          </w:p>
        </w:tc>
        <w:tc>
          <w:tcPr>
            <w:tcW w:w="1000" w:type="dxa"/>
            <w:shd w:val="clear" w:color="auto" w:fill="auto"/>
          </w:tcPr>
          <w:p w14:paraId="64A8DAE2">
            <w:pPr>
              <w:keepNext/>
              <w:keepLines/>
              <w:overflowPunct w:val="0"/>
              <w:autoSpaceDE w:val="0"/>
              <w:autoSpaceDN w:val="0"/>
              <w:adjustRightInd w:val="0"/>
              <w:jc w:val="center"/>
              <w:textAlignment w:val="baseline"/>
              <w:rPr>
                <w:rFonts w:hint="default" w:ascii="Arial" w:hAnsi="Arial" w:eastAsia="宋体" w:cs="Arial"/>
                <w:color w:val="0070C0"/>
                <w:sz w:val="18"/>
                <w:lang w:val="en-US" w:eastAsia="zh-CN"/>
              </w:rPr>
            </w:pPr>
            <w:r>
              <w:rPr>
                <w:rFonts w:hint="eastAsia" w:ascii="Arial" w:hAnsi="Arial" w:eastAsia="宋体" w:cs="Arial"/>
                <w:color w:val="0070C0"/>
                <w:sz w:val="18"/>
                <w:lang w:val="en-US" w:eastAsia="zh-CN"/>
              </w:rPr>
              <w:t>FR1 only</w:t>
            </w:r>
          </w:p>
        </w:tc>
        <w:tc>
          <w:tcPr>
            <w:tcW w:w="1392" w:type="dxa"/>
          </w:tcPr>
          <w:p w14:paraId="2374C3C7">
            <w:pPr>
              <w:keepNext/>
              <w:keepLines/>
              <w:overflowPunct w:val="0"/>
              <w:autoSpaceDE w:val="0"/>
              <w:autoSpaceDN w:val="0"/>
              <w:adjustRightInd w:val="0"/>
              <w:jc w:val="center"/>
              <w:textAlignment w:val="baseline"/>
              <w:rPr>
                <w:rFonts w:hint="default" w:ascii="Arial" w:hAnsi="Arial" w:eastAsia="宋体" w:cs="Arial"/>
                <w:b/>
                <w:color w:val="0070C0"/>
                <w:sz w:val="18"/>
                <w:lang w:val="en-US" w:eastAsia="zh-CN"/>
              </w:rPr>
            </w:pPr>
            <w:r>
              <w:rPr>
                <w:rFonts w:hint="eastAsia" w:ascii="Arial" w:hAnsi="Arial" w:eastAsia="宋体" w:cs="Arial"/>
                <w:color w:val="0070C0"/>
                <w:sz w:val="18"/>
                <w:lang w:val="en-US" w:eastAsia="zh-CN"/>
              </w:rPr>
              <w:t>N/A</w:t>
            </w:r>
          </w:p>
        </w:tc>
        <w:tc>
          <w:tcPr>
            <w:tcW w:w="1446" w:type="dxa"/>
            <w:shd w:val="clear" w:color="auto" w:fill="auto"/>
          </w:tcPr>
          <w:p w14:paraId="45964116">
            <w:pPr>
              <w:keepNext/>
              <w:keepLines/>
              <w:overflowPunct w:val="0"/>
              <w:autoSpaceDE w:val="0"/>
              <w:autoSpaceDN w:val="0"/>
              <w:adjustRightInd w:val="0"/>
              <w:jc w:val="center"/>
              <w:textAlignment w:val="baseline"/>
              <w:rPr>
                <w:rFonts w:hint="default" w:ascii="Arial" w:hAnsi="Arial" w:eastAsia="Times New Roman" w:cs="Arial"/>
                <w:b/>
                <w:color w:val="0070C0"/>
                <w:sz w:val="18"/>
                <w:lang w:val="en-US"/>
              </w:rPr>
            </w:pPr>
            <w:r>
              <w:rPr>
                <w:rFonts w:hint="eastAsia" w:ascii="Arial" w:hAnsi="Arial" w:eastAsia="宋体" w:cs="Arial"/>
                <w:color w:val="0070C0"/>
                <w:sz w:val="18"/>
                <w:highlight w:val="none"/>
                <w:lang w:val="en-US" w:eastAsia="zh-CN"/>
              </w:rPr>
              <w:t>This UE feature is applicable only for inter-band CA band combination(s) in Table [TBD] in TS 38.101-1.</w:t>
            </w:r>
          </w:p>
        </w:tc>
        <w:tc>
          <w:tcPr>
            <w:tcW w:w="1216" w:type="dxa"/>
            <w:shd w:val="clear" w:color="auto" w:fill="auto"/>
          </w:tcPr>
          <w:p w14:paraId="3A2B64D8">
            <w:pPr>
              <w:keepNext/>
              <w:keepLines/>
              <w:overflowPunct w:val="0"/>
              <w:autoSpaceDE w:val="0"/>
              <w:autoSpaceDN w:val="0"/>
              <w:adjustRightInd w:val="0"/>
              <w:jc w:val="center"/>
              <w:textAlignment w:val="baseline"/>
              <w:rPr>
                <w:rFonts w:ascii="Arial" w:hAnsi="Arial" w:cs="Arial"/>
                <w:color w:val="0070C0"/>
                <w:sz w:val="18"/>
              </w:rPr>
            </w:pPr>
            <w:r>
              <w:rPr>
                <w:rFonts w:hint="eastAsia" w:ascii="Arial" w:hAnsi="Arial" w:cs="Arial"/>
                <w:color w:val="0070C0"/>
                <w:sz w:val="18"/>
                <w:highlight w:val="none"/>
              </w:rPr>
              <w:t>Conditional mandatory for UEs supporting antennaArrayType-r18 on each band of the supported Band combination</w:t>
            </w:r>
          </w:p>
        </w:tc>
      </w:tr>
    </w:tbl>
    <w:p w14:paraId="6A66B37D">
      <w:pPr>
        <w:rPr>
          <w:rFonts w:hint="eastAsia"/>
          <w:b/>
          <w:color w:val="0070C0"/>
          <w:u w:val="single"/>
          <w:lang w:val="en-US" w:eastAsia="zh-CN"/>
        </w:rPr>
      </w:pPr>
    </w:p>
    <w:p w14:paraId="079A4391">
      <w:pPr>
        <w:rPr>
          <w:rFonts w:hint="eastAsia"/>
          <w:b/>
          <w:color w:val="0070C0"/>
          <w:u w:val="single"/>
          <w:lang w:val="en-US" w:eastAsia="zh-CN"/>
        </w:rPr>
        <w:sectPr>
          <w:footnotePr>
            <w:numRestart w:val="eachSect"/>
          </w:footnotePr>
          <w:pgSz w:w="16838" w:h="11906" w:orient="landscape"/>
          <w:pgMar w:top="1134" w:right="1133" w:bottom="1134" w:left="1416" w:header="850" w:footer="340" w:gutter="0"/>
          <w:cols w:space="0" w:num="1"/>
          <w:formProt w:val="0"/>
          <w:rtlGutter w:val="0"/>
          <w:docGrid w:linePitch="272" w:charSpace="0"/>
        </w:sectPr>
      </w:pPr>
    </w:p>
    <w:p w14:paraId="2540BA5E">
      <w:pPr>
        <w:rPr>
          <w:rFonts w:hint="eastAsia"/>
          <w:b/>
          <w:color w:val="0070C0"/>
          <w:u w:val="single"/>
          <w:lang w:val="en-US" w:eastAsia="zh-CN"/>
        </w:rPr>
      </w:pPr>
    </w:p>
    <w:p w14:paraId="0DCC5F12">
      <w:pPr>
        <w:rPr>
          <w:b/>
          <w:color w:val="0070C0"/>
          <w:u w:val="single"/>
          <w:lang w:val="en-US" w:eastAsia="zh-CN"/>
        </w:rPr>
      </w:pPr>
      <w:r>
        <w:rPr>
          <w:rFonts w:hint="eastAsia"/>
          <w:b/>
          <w:color w:val="0070C0"/>
          <w:u w:val="single"/>
          <w:lang w:val="en-US" w:eastAsia="zh-CN"/>
        </w:rPr>
        <w:t>Issue 1-2-1: Interruption requirements</w:t>
      </w:r>
    </w:p>
    <w:p w14:paraId="1861845C">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5BFAA724">
      <w:pPr>
        <w:pStyle w:val="150"/>
        <w:numPr>
          <w:ilvl w:val="1"/>
          <w:numId w:val="4"/>
        </w:numPr>
        <w:overflowPunct/>
        <w:autoSpaceDE/>
        <w:autoSpaceDN/>
        <w:adjustRightInd/>
        <w:spacing w:after="120"/>
        <w:ind w:left="1440" w:firstLineChars="0"/>
        <w:textAlignment w:val="auto"/>
        <w:rPr>
          <w:rFonts w:eastAsia="Times New Roman"/>
          <w:color w:val="0070C0"/>
          <w:lang w:val="en-US" w:eastAsia="zh-CN"/>
        </w:rPr>
      </w:pPr>
      <w:r>
        <w:rPr>
          <w:rFonts w:hint="eastAsia" w:eastAsia="宋体"/>
          <w:color w:val="0070C0"/>
          <w:szCs w:val="24"/>
          <w:lang w:val="en-US" w:eastAsia="zh-CN"/>
        </w:rPr>
        <w:t>Proposal</w:t>
      </w:r>
      <w:r>
        <w:rPr>
          <w:rFonts w:eastAsia="宋体"/>
          <w:color w:val="0070C0"/>
          <w:szCs w:val="24"/>
          <w:lang w:eastAsia="zh-CN"/>
        </w:rPr>
        <w:t xml:space="preserve"> </w:t>
      </w:r>
      <w:r>
        <w:rPr>
          <w:rFonts w:hint="eastAsia" w:eastAsia="宋体"/>
          <w:color w:val="0070C0"/>
          <w:szCs w:val="24"/>
          <w:lang w:eastAsia="zh-CN"/>
        </w:rPr>
        <w:t>1:</w:t>
      </w:r>
      <w:r>
        <w:rPr>
          <w:rFonts w:hint="eastAsia" w:eastAsia="宋体"/>
          <w:color w:val="0070C0"/>
          <w:szCs w:val="24"/>
          <w:lang w:val="en-US" w:eastAsia="zh-CN"/>
        </w:rPr>
        <w:t xml:space="preserve"> (LGE, CMCC, HW)</w:t>
      </w:r>
    </w:p>
    <w:p w14:paraId="19A9C575">
      <w:pPr>
        <w:pStyle w:val="150"/>
        <w:numPr>
          <w:ilvl w:val="2"/>
          <w:numId w:val="4"/>
        </w:numPr>
        <w:overflowPunct/>
        <w:autoSpaceDE/>
        <w:autoSpaceDN/>
        <w:adjustRightInd/>
        <w:spacing w:after="120"/>
        <w:ind w:left="1860" w:firstLineChars="0"/>
        <w:textAlignment w:val="auto"/>
        <w:rPr>
          <w:rFonts w:hint="eastAsia" w:ascii="Times New Roman" w:hAnsi="Times New Roman" w:eastAsia="宋体" w:cs="Times New Roman"/>
          <w:color w:val="0070C0"/>
          <w:szCs w:val="24"/>
          <w:lang w:val="en-US" w:eastAsia="zh-CN"/>
        </w:rPr>
      </w:pPr>
      <w:r>
        <w:rPr>
          <w:rFonts w:hint="eastAsia" w:ascii="Times New Roman" w:hAnsi="Times New Roman" w:eastAsia="宋体" w:cs="Times New Roman"/>
          <w:color w:val="0070C0"/>
          <w:szCs w:val="24"/>
          <w:lang w:val="en-US" w:eastAsia="ko-KR"/>
        </w:rPr>
        <w:t>The existing interruption requir</w:t>
      </w:r>
      <w:r>
        <w:rPr>
          <w:rFonts w:hint="eastAsia" w:ascii="Times New Roman" w:hAnsi="Times New Roman" w:eastAsia="宋体" w:cs="Times New Roman"/>
          <w:color w:val="0070C0"/>
          <w:szCs w:val="24"/>
          <w:lang w:val="en-US" w:eastAsia="zh-CN"/>
        </w:rPr>
        <w:t>e</w:t>
      </w:r>
      <w:r>
        <w:rPr>
          <w:rFonts w:hint="eastAsia" w:ascii="Times New Roman" w:hAnsi="Times New Roman" w:eastAsia="宋体" w:cs="Times New Roman"/>
          <w:color w:val="0070C0"/>
          <w:szCs w:val="24"/>
          <w:lang w:val="en-US" w:eastAsia="ko-KR"/>
        </w:rPr>
        <w:t>ments caused by SCell addition / release and SCell activation / deactivation can be reused for ATG CA depending on intra-band CA and inter-band CA (i.e., no need to consider different requirement for common Rx beam ATG UE in inter-band CA).</w:t>
      </w:r>
    </w:p>
    <w:p w14:paraId="51549103">
      <w:pPr>
        <w:pStyle w:val="150"/>
        <w:numPr>
          <w:ilvl w:val="1"/>
          <w:numId w:val="4"/>
        </w:numPr>
        <w:overflowPunct/>
        <w:autoSpaceDE/>
        <w:autoSpaceDN/>
        <w:adjustRightInd/>
        <w:spacing w:after="120"/>
        <w:ind w:left="1440" w:firstLineChars="0"/>
        <w:textAlignment w:val="auto"/>
        <w:rPr>
          <w:rFonts w:hint="eastAsia" w:ascii="Times New Roman" w:hAnsi="Times New Roman" w:eastAsia="宋体" w:cs="Times New Roman"/>
          <w:color w:val="0070C0"/>
          <w:szCs w:val="24"/>
          <w:lang w:val="en-US" w:eastAsia="zh-CN"/>
        </w:rPr>
      </w:pPr>
      <w:r>
        <w:rPr>
          <w:rFonts w:hint="eastAsia" w:eastAsia="宋体"/>
          <w:color w:val="0070C0"/>
          <w:szCs w:val="24"/>
          <w:lang w:val="en-US" w:eastAsia="zh-CN"/>
        </w:rPr>
        <w:t>Proposal</w:t>
      </w:r>
      <w:r>
        <w:rPr>
          <w:rFonts w:eastAsia="宋体"/>
          <w:color w:val="0070C0"/>
          <w:szCs w:val="24"/>
          <w:lang w:eastAsia="zh-CN"/>
        </w:rPr>
        <w:t xml:space="preserve"> </w:t>
      </w:r>
      <w:r>
        <w:rPr>
          <w:rFonts w:hint="eastAsia" w:eastAsia="宋体"/>
          <w:color w:val="0070C0"/>
          <w:szCs w:val="24"/>
          <w:lang w:val="en-US" w:eastAsia="zh-CN"/>
        </w:rPr>
        <w:t>2</w:t>
      </w:r>
      <w:r>
        <w:rPr>
          <w:rFonts w:hint="eastAsia" w:eastAsia="宋体"/>
          <w:color w:val="0070C0"/>
          <w:szCs w:val="24"/>
          <w:lang w:eastAsia="zh-CN"/>
        </w:rPr>
        <w:t>:</w:t>
      </w:r>
      <w:r>
        <w:rPr>
          <w:rFonts w:hint="eastAsia" w:eastAsia="宋体"/>
          <w:color w:val="0070C0"/>
          <w:szCs w:val="24"/>
          <w:lang w:val="en-US" w:eastAsia="zh-CN"/>
        </w:rPr>
        <w:t xml:space="preserve"> </w:t>
      </w:r>
      <w:r>
        <w:rPr>
          <w:rFonts w:hint="eastAsia"/>
          <w:b w:val="0"/>
          <w:bCs w:val="0"/>
          <w:color w:val="0070C0"/>
          <w:lang w:val="en-US" w:eastAsia="zh-CN"/>
        </w:rPr>
        <w:t>UE antenna types have impact on some types of interruption requirements. (ZTE, Ericsson)</w:t>
      </w:r>
    </w:p>
    <w:p w14:paraId="387A0FBB">
      <w:pPr>
        <w:pStyle w:val="150"/>
        <w:numPr>
          <w:ilvl w:val="2"/>
          <w:numId w:val="4"/>
        </w:numPr>
        <w:overflowPunct/>
        <w:autoSpaceDE/>
        <w:autoSpaceDN/>
        <w:adjustRightInd/>
        <w:spacing w:after="120"/>
        <w:ind w:left="1860" w:leftChars="0" w:firstLineChars="0"/>
        <w:textAlignment w:val="auto"/>
        <w:rPr>
          <w:rFonts w:hint="eastAsia" w:ascii="Times New Roman" w:hAnsi="Times New Roman" w:eastAsia="宋体" w:cs="Times New Roman"/>
          <w:color w:val="0070C0"/>
          <w:szCs w:val="24"/>
          <w:lang w:val="en-US" w:eastAsia="zh-CN"/>
        </w:rPr>
      </w:pPr>
      <w:r>
        <w:rPr>
          <w:rFonts w:hint="eastAsia" w:eastAsia="宋体"/>
          <w:color w:val="0070C0"/>
          <w:szCs w:val="24"/>
          <w:lang w:val="en-US" w:eastAsia="zh-CN"/>
        </w:rPr>
        <w:t>Proposal 2-1: (ZTE)</w:t>
      </w:r>
    </w:p>
    <w:p w14:paraId="3C478AAF">
      <w:pPr>
        <w:pStyle w:val="150"/>
        <w:numPr>
          <w:ilvl w:val="3"/>
          <w:numId w:val="4"/>
        </w:numPr>
        <w:overflowPunct/>
        <w:autoSpaceDE/>
        <w:autoSpaceDN/>
        <w:adjustRightInd/>
        <w:spacing w:after="120"/>
        <w:ind w:left="2280" w:leftChars="0" w:firstLineChars="0"/>
        <w:textAlignment w:val="auto"/>
        <w:rPr>
          <w:rFonts w:hint="eastAsia"/>
          <w:b w:val="0"/>
          <w:bCs w:val="0"/>
          <w:color w:val="0070C0"/>
          <w:lang w:val="en-US" w:eastAsia="zh-CN"/>
        </w:rPr>
      </w:pPr>
      <w:r>
        <w:rPr>
          <w:rFonts w:hint="eastAsia"/>
          <w:b w:val="0"/>
          <w:bCs w:val="0"/>
          <w:color w:val="0070C0"/>
          <w:lang w:val="en-US" w:eastAsia="zh-CN"/>
        </w:rPr>
        <w:t>UE antenna types have impact on some types of interruption requirements. Classify the UE antenna types into two categories:</w:t>
      </w:r>
    </w:p>
    <w:p w14:paraId="68AE388D">
      <w:pPr>
        <w:pStyle w:val="150"/>
        <w:numPr>
          <w:ilvl w:val="4"/>
          <w:numId w:val="4"/>
        </w:numPr>
        <w:overflowPunct/>
        <w:autoSpaceDE/>
        <w:autoSpaceDN/>
        <w:adjustRightInd/>
        <w:spacing w:after="120"/>
        <w:ind w:left="2700" w:leftChars="0" w:firstLineChars="0"/>
        <w:textAlignment w:val="auto"/>
        <w:rPr>
          <w:rFonts w:hint="default"/>
          <w:b w:val="0"/>
          <w:bCs w:val="0"/>
          <w:color w:val="0070C0"/>
          <w:lang w:val="en-US" w:eastAsia="zh-CN"/>
        </w:rPr>
      </w:pPr>
      <w:r>
        <w:rPr>
          <w:rFonts w:hint="eastAsia"/>
          <w:b w:val="0"/>
          <w:bCs w:val="0"/>
          <w:color w:val="0070C0"/>
          <w:lang w:val="en-US" w:eastAsia="zh-CN"/>
        </w:rPr>
        <w:t>Category 1: antenna array assumption in intra-band CA and Case 4 in inter-band CA</w:t>
      </w:r>
    </w:p>
    <w:p w14:paraId="4F4D55E5">
      <w:pPr>
        <w:pStyle w:val="150"/>
        <w:numPr>
          <w:ilvl w:val="4"/>
          <w:numId w:val="4"/>
        </w:numPr>
        <w:overflowPunct/>
        <w:autoSpaceDE/>
        <w:autoSpaceDN/>
        <w:adjustRightInd/>
        <w:spacing w:after="120"/>
        <w:ind w:left="2700" w:leftChars="0" w:firstLineChars="0"/>
        <w:textAlignment w:val="auto"/>
        <w:rPr>
          <w:rFonts w:hint="default"/>
          <w:b w:val="0"/>
          <w:bCs w:val="0"/>
          <w:color w:val="0070C0"/>
          <w:lang w:val="en-US" w:eastAsia="zh-CN"/>
        </w:rPr>
      </w:pPr>
      <w:r>
        <w:rPr>
          <w:rFonts w:hint="eastAsia"/>
          <w:b w:val="0"/>
          <w:bCs w:val="0"/>
          <w:color w:val="0070C0"/>
          <w:lang w:val="en-US" w:eastAsia="zh-CN"/>
        </w:rPr>
        <w:t>Category 2: other cases</w:t>
      </w:r>
    </w:p>
    <w:p w14:paraId="719A9A92">
      <w:pPr>
        <w:pStyle w:val="150"/>
        <w:numPr>
          <w:ilvl w:val="3"/>
          <w:numId w:val="4"/>
        </w:numPr>
        <w:overflowPunct/>
        <w:autoSpaceDE/>
        <w:autoSpaceDN/>
        <w:adjustRightInd/>
        <w:spacing w:after="120"/>
        <w:ind w:left="2280" w:leftChars="0" w:firstLineChars="0"/>
        <w:textAlignment w:val="auto"/>
        <w:rPr>
          <w:rFonts w:hint="eastAsia"/>
          <w:b w:val="0"/>
          <w:bCs w:val="0"/>
          <w:color w:val="0070C0"/>
          <w:lang w:val="en-US" w:eastAsia="zh-CN"/>
        </w:rPr>
      </w:pPr>
      <w:r>
        <w:rPr>
          <w:rFonts w:hint="eastAsia"/>
          <w:b w:val="0"/>
          <w:bCs w:val="0"/>
          <w:color w:val="0070C0"/>
          <w:lang w:val="en-US" w:eastAsia="zh-CN"/>
        </w:rPr>
        <w:t>For the interruptions caused by SCell addition/release and any types of SCell activation/deactivation, distinguish the interruption requirements for Category 1 and 2.</w:t>
      </w:r>
    </w:p>
    <w:p w14:paraId="2B264FAF">
      <w:pPr>
        <w:pStyle w:val="150"/>
        <w:numPr>
          <w:ilvl w:val="3"/>
          <w:numId w:val="4"/>
        </w:numPr>
        <w:overflowPunct/>
        <w:autoSpaceDE/>
        <w:autoSpaceDN/>
        <w:adjustRightInd/>
        <w:spacing w:after="120"/>
        <w:ind w:left="2280" w:leftChars="0" w:firstLineChars="0"/>
        <w:textAlignment w:val="auto"/>
        <w:rPr>
          <w:rFonts w:hint="eastAsia" w:ascii="Times New Roman" w:hAnsi="Times New Roman" w:eastAsia="宋体" w:cs="Times New Roman"/>
          <w:b w:val="0"/>
          <w:bCs w:val="0"/>
          <w:color w:val="0070C0"/>
          <w:szCs w:val="24"/>
          <w:lang w:val="en-US" w:eastAsia="zh-CN"/>
        </w:rPr>
      </w:pPr>
      <w:r>
        <w:rPr>
          <w:rFonts w:hint="eastAsia"/>
          <w:b w:val="0"/>
          <w:bCs w:val="0"/>
          <w:color w:val="0070C0"/>
          <w:lang w:val="en-US" w:eastAsia="zh-CN"/>
        </w:rPr>
        <w:t>For other interruptions, define unified interruption requirements for all UE antenna types.</w:t>
      </w:r>
    </w:p>
    <w:p w14:paraId="7E0072CB">
      <w:pPr>
        <w:pStyle w:val="150"/>
        <w:numPr>
          <w:ilvl w:val="2"/>
          <w:numId w:val="4"/>
        </w:numPr>
        <w:overflowPunct/>
        <w:autoSpaceDE/>
        <w:autoSpaceDN/>
        <w:adjustRightInd/>
        <w:spacing w:after="120"/>
        <w:ind w:left="1860" w:leftChars="0" w:firstLineChars="0"/>
        <w:textAlignment w:val="auto"/>
        <w:rPr>
          <w:rFonts w:hint="eastAsia" w:ascii="Times New Roman" w:hAnsi="Times New Roman" w:eastAsia="宋体" w:cs="Times New Roman"/>
          <w:b w:val="0"/>
          <w:bCs w:val="0"/>
          <w:color w:val="0070C0"/>
          <w:szCs w:val="24"/>
          <w:lang w:val="en-US" w:eastAsia="zh-CN"/>
        </w:rPr>
      </w:pPr>
      <w:r>
        <w:rPr>
          <w:rFonts w:hint="eastAsia"/>
          <w:b w:val="0"/>
          <w:bCs w:val="0"/>
          <w:color w:val="0070C0"/>
          <w:lang w:val="en-US" w:eastAsia="zh-CN"/>
        </w:rPr>
        <w:t>Proposal 2-2: (Ericsson)</w:t>
      </w:r>
    </w:p>
    <w:p w14:paraId="5D75EDAA">
      <w:pPr>
        <w:pStyle w:val="150"/>
        <w:numPr>
          <w:ilvl w:val="3"/>
          <w:numId w:val="4"/>
        </w:numPr>
        <w:overflowPunct/>
        <w:autoSpaceDE/>
        <w:autoSpaceDN/>
        <w:adjustRightInd/>
        <w:spacing w:after="120"/>
        <w:ind w:left="2280" w:leftChars="0" w:firstLineChars="0"/>
        <w:textAlignment w:val="auto"/>
        <w:rPr>
          <w:rFonts w:hint="eastAsia" w:ascii="Times New Roman" w:hAnsi="Times New Roman" w:eastAsia="宋体" w:cs="Times New Roman"/>
          <w:color w:val="0070C0"/>
          <w:szCs w:val="24"/>
          <w:lang w:val="en-US" w:eastAsia="zh-CN"/>
        </w:rPr>
      </w:pPr>
      <w:r>
        <w:rPr>
          <w:rFonts w:hint="eastAsia" w:ascii="Times New Roman" w:hAnsi="Times New Roman" w:eastAsia="宋体" w:cs="Times New Roman"/>
          <w:color w:val="0070C0"/>
          <w:szCs w:val="24"/>
          <w:lang w:val="en-US" w:eastAsia="zh-CN"/>
        </w:rPr>
        <w:t>For clauses 8.2.2.2.1, 8.2.2.2.2, 8.2.2.2.5, and 8.2.2.2.17 distinguish the interruption requirements for Category A and B.</w:t>
      </w:r>
    </w:p>
    <w:p w14:paraId="01938D35">
      <w:pPr>
        <w:pStyle w:val="150"/>
        <w:numPr>
          <w:ilvl w:val="4"/>
          <w:numId w:val="4"/>
        </w:numPr>
        <w:overflowPunct/>
        <w:autoSpaceDE/>
        <w:autoSpaceDN/>
        <w:adjustRightInd/>
        <w:spacing w:after="120"/>
        <w:ind w:left="2700" w:leftChars="0" w:firstLineChars="0"/>
        <w:textAlignment w:val="auto"/>
        <w:rPr>
          <w:rFonts w:hint="eastAsia" w:ascii="Times New Roman" w:hAnsi="Times New Roman" w:eastAsia="宋体" w:cs="Times New Roman"/>
          <w:color w:val="0070C0"/>
          <w:szCs w:val="24"/>
          <w:lang w:val="en-US" w:eastAsia="zh-CN"/>
        </w:rPr>
      </w:pPr>
      <w:r>
        <w:rPr>
          <w:rFonts w:hint="eastAsia" w:ascii="Times New Roman" w:hAnsi="Times New Roman" w:eastAsia="宋体" w:cs="Times New Roman"/>
          <w:color w:val="0070C0"/>
          <w:szCs w:val="24"/>
          <w:lang w:val="en-US" w:eastAsia="zh-CN"/>
        </w:rPr>
        <w:t>Category A: Common Rx beam assumption (e.g., co-located beams with aligned timing and shared spatial domain)</w:t>
      </w:r>
    </w:p>
    <w:p w14:paraId="62C166A6">
      <w:pPr>
        <w:pStyle w:val="150"/>
        <w:numPr>
          <w:ilvl w:val="4"/>
          <w:numId w:val="4"/>
        </w:numPr>
        <w:overflowPunct/>
        <w:autoSpaceDE/>
        <w:autoSpaceDN/>
        <w:adjustRightInd/>
        <w:spacing w:after="120"/>
        <w:ind w:left="2700" w:leftChars="0" w:firstLineChars="0"/>
        <w:textAlignment w:val="auto"/>
        <w:rPr>
          <w:rFonts w:hint="eastAsia" w:ascii="Times New Roman" w:hAnsi="Times New Roman" w:eastAsia="宋体" w:cs="Times New Roman"/>
          <w:color w:val="0070C0"/>
          <w:szCs w:val="24"/>
          <w:lang w:val="en-US" w:eastAsia="zh-CN"/>
        </w:rPr>
      </w:pPr>
      <w:r>
        <w:rPr>
          <w:rFonts w:hint="eastAsia" w:ascii="Times New Roman" w:hAnsi="Times New Roman" w:eastAsia="宋体" w:cs="Times New Roman"/>
          <w:color w:val="0070C0"/>
          <w:szCs w:val="24"/>
          <w:lang w:val="en-US" w:eastAsia="zh-CN"/>
        </w:rPr>
        <w:t>Category B: Separate Rx beam assumption (e.g., independent beams with distinct directionality and control)</w:t>
      </w:r>
    </w:p>
    <w:p w14:paraId="641AD4B6">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0E734CAD">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To be discussed</w:t>
      </w:r>
    </w:p>
    <w:p w14:paraId="7AB4992B">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ZTE: Check with companies, SCell addition/.. requirement, FR2 has two category requirement, including intra-band and inter-band IBM case. Separate RF chains and phase shifter can lead to shorter interruption. But for Case 4 UE, separate RF chain and common phase shifter may be used, so will common phase shifter will cause longer interruption?</w:t>
      </w:r>
    </w:p>
    <w:p w14:paraId="0D765554">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LGE: Use shorter interruption for Case#4, separate RF chain can guarantee the shorter interruption side condition.</w:t>
      </w:r>
    </w:p>
    <w:p w14:paraId="2C83D7D7">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CMCC: Similar understanding as LGE</w:t>
      </w:r>
    </w:p>
    <w:p w14:paraId="5055A105">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HW: Similar as LGE</w:t>
      </w:r>
    </w:p>
    <w:p w14:paraId="6CA02544">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ZTE: Even single phase shifter, consider co-located scenario, one common beam is enough, no need to adjust phase shifter.</w:t>
      </w:r>
    </w:p>
    <w:p w14:paraId="7DD863DF">
      <w:pPr>
        <w:pStyle w:val="150"/>
        <w:overflowPunct/>
        <w:autoSpaceDE/>
        <w:autoSpaceDN/>
        <w:adjustRightInd/>
        <w:spacing w:after="120"/>
        <w:ind w:firstLine="0" w:firstLineChars="0"/>
        <w:textAlignment w:val="auto"/>
        <w:rPr>
          <w:rFonts w:hint="eastAsia"/>
          <w:color w:val="0070C0"/>
          <w:lang w:val="en-US" w:eastAsia="zh-CN"/>
        </w:rPr>
      </w:pPr>
    </w:p>
    <w:p w14:paraId="5C264A59">
      <w:pPr>
        <w:pStyle w:val="150"/>
        <w:overflowPunct/>
        <w:autoSpaceDE/>
        <w:autoSpaceDN/>
        <w:adjustRightInd/>
        <w:spacing w:after="120"/>
        <w:ind w:firstLine="0" w:firstLineChars="0"/>
        <w:textAlignment w:val="auto"/>
        <w:rPr>
          <w:rFonts w:hint="default"/>
          <w:color w:val="0070C0"/>
          <w:highlight w:val="yellow"/>
          <w:lang w:val="en-US" w:eastAsia="zh-CN"/>
        </w:rPr>
      </w:pPr>
      <w:r>
        <w:rPr>
          <w:rFonts w:hint="eastAsia"/>
          <w:color w:val="0070C0"/>
          <w:highlight w:val="yellow"/>
          <w:lang w:val="en-US" w:eastAsia="zh-CN"/>
        </w:rPr>
        <w:t>Tentative agreement:</w:t>
      </w:r>
    </w:p>
    <w:p w14:paraId="7CC6158A">
      <w:pPr>
        <w:pStyle w:val="150"/>
        <w:numPr>
          <w:ilvl w:val="0"/>
          <w:numId w:val="4"/>
        </w:numPr>
        <w:overflowPunct/>
        <w:autoSpaceDE/>
        <w:autoSpaceDN/>
        <w:adjustRightInd/>
        <w:spacing w:after="120"/>
        <w:ind w:left="1020" w:leftChars="0" w:firstLineChars="0"/>
        <w:textAlignment w:val="auto"/>
        <w:rPr>
          <w:rFonts w:hint="eastAsia" w:ascii="Times New Roman" w:hAnsi="Times New Roman" w:eastAsia="宋体" w:cs="Times New Roman"/>
          <w:color w:val="0070C0"/>
          <w:szCs w:val="24"/>
          <w:lang w:val="en-US" w:eastAsia="zh-CN"/>
        </w:rPr>
      </w:pPr>
      <w:r>
        <w:rPr>
          <w:rFonts w:hint="eastAsia" w:ascii="Times New Roman" w:hAnsi="Times New Roman" w:eastAsia="宋体" w:cs="Times New Roman"/>
          <w:color w:val="0070C0"/>
          <w:szCs w:val="24"/>
          <w:lang w:val="en-US" w:eastAsia="ko-KR"/>
        </w:rPr>
        <w:t>The existing interruption requir</w:t>
      </w:r>
      <w:r>
        <w:rPr>
          <w:rFonts w:hint="eastAsia" w:ascii="Times New Roman" w:hAnsi="Times New Roman" w:eastAsia="宋体" w:cs="Times New Roman"/>
          <w:color w:val="0070C0"/>
          <w:szCs w:val="24"/>
          <w:lang w:val="en-US" w:eastAsia="zh-CN"/>
        </w:rPr>
        <w:t>e</w:t>
      </w:r>
      <w:r>
        <w:rPr>
          <w:rFonts w:hint="eastAsia" w:ascii="Times New Roman" w:hAnsi="Times New Roman" w:eastAsia="宋体" w:cs="Times New Roman"/>
          <w:color w:val="0070C0"/>
          <w:szCs w:val="24"/>
          <w:lang w:val="en-US" w:eastAsia="ko-KR"/>
        </w:rPr>
        <w:t>ments caused by SCell addition / release and SCell activation / deactivation can be reused for ATG CA depending on intra-band CA and inter-band CA (i.e., no need to consider different requirement for common Rx beam ATG UE in inter-band CA).</w:t>
      </w:r>
    </w:p>
    <w:p w14:paraId="684A21A8">
      <w:pPr>
        <w:pStyle w:val="150"/>
        <w:overflowPunct/>
        <w:autoSpaceDE/>
        <w:autoSpaceDN/>
        <w:adjustRightInd/>
        <w:spacing w:after="120"/>
        <w:ind w:firstLine="0" w:firstLineChars="0"/>
        <w:textAlignment w:val="auto"/>
        <w:rPr>
          <w:rFonts w:hint="default"/>
          <w:color w:val="0070C0"/>
          <w:lang w:val="en-US" w:eastAsia="zh-CN"/>
        </w:rPr>
      </w:pPr>
    </w:p>
    <w:p w14:paraId="56F6A0C0">
      <w:pPr>
        <w:pStyle w:val="150"/>
        <w:overflowPunct/>
        <w:autoSpaceDE/>
        <w:autoSpaceDN/>
        <w:adjustRightInd/>
        <w:spacing w:after="120"/>
        <w:ind w:firstLine="0" w:firstLineChars="0"/>
        <w:textAlignment w:val="auto"/>
        <w:rPr>
          <w:color w:val="0070C0"/>
          <w:lang w:val="en-US" w:eastAsia="zh-CN"/>
        </w:rPr>
      </w:pPr>
    </w:p>
    <w:p w14:paraId="4F85F38A">
      <w:pPr>
        <w:rPr>
          <w:rFonts w:hint="default" w:ascii="Times New Roman" w:hAnsi="Times New Roman" w:cs="Times New Roman"/>
          <w:b/>
          <w:color w:val="0070C0"/>
          <w:u w:val="single"/>
          <w:lang w:val="en-US" w:eastAsia="zh-CN"/>
        </w:rPr>
      </w:pPr>
      <w:r>
        <w:rPr>
          <w:rFonts w:hint="eastAsia"/>
          <w:b/>
          <w:color w:val="0070C0"/>
          <w:u w:val="single"/>
          <w:lang w:val="en-US" w:eastAsia="zh-CN"/>
        </w:rPr>
        <w:t>Issue 1-2-2: SCell act</w:t>
      </w:r>
      <w:r>
        <w:rPr>
          <w:rFonts w:hint="default" w:ascii="Times New Roman" w:hAnsi="Times New Roman" w:cs="Times New Roman"/>
          <w:b/>
          <w:color w:val="0070C0"/>
          <w:u w:val="single"/>
          <w:lang w:val="en-US" w:eastAsia="zh-CN"/>
        </w:rPr>
        <w:t>ivation delay enhancement</w:t>
      </w:r>
    </w:p>
    <w:p w14:paraId="5C9A97D5">
      <w:pPr>
        <w:pStyle w:val="150"/>
        <w:numPr>
          <w:ilvl w:val="0"/>
          <w:numId w:val="4"/>
        </w:numPr>
        <w:overflowPunct/>
        <w:autoSpaceDE/>
        <w:autoSpaceDN/>
        <w:adjustRightInd/>
        <w:spacing w:after="120"/>
        <w:ind w:left="720" w:firstLineChars="0"/>
        <w:textAlignment w:val="auto"/>
        <w:rPr>
          <w:rFonts w:hint="default" w:ascii="Times New Roman" w:hAnsi="Times New Roman" w:eastAsia="宋体" w:cs="Times New Roman"/>
          <w:b/>
          <w:bCs/>
          <w:color w:val="0070C0"/>
          <w:szCs w:val="24"/>
          <w:lang w:eastAsia="zh-CN"/>
        </w:rPr>
      </w:pPr>
      <w:r>
        <w:rPr>
          <w:rFonts w:hint="default" w:ascii="Times New Roman" w:hAnsi="Times New Roman" w:eastAsia="宋体" w:cs="Times New Roman"/>
          <w:b/>
          <w:bCs/>
          <w:color w:val="0070C0"/>
          <w:szCs w:val="24"/>
          <w:lang w:eastAsia="zh-CN"/>
        </w:rPr>
        <w:t>Proposals</w:t>
      </w:r>
    </w:p>
    <w:p w14:paraId="1728A0C9">
      <w:pPr>
        <w:pStyle w:val="150"/>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Cs w:val="24"/>
          <w:highlight w:val="none"/>
          <w:lang w:val="en-US" w:eastAsia="zh-CN"/>
        </w:rPr>
      </w:pPr>
      <w:r>
        <w:rPr>
          <w:rFonts w:hint="default" w:ascii="Times New Roman" w:hAnsi="Times New Roman" w:eastAsia="宋体" w:cs="Times New Roman"/>
          <w:color w:val="0070C0"/>
          <w:szCs w:val="24"/>
          <w:lang w:val="en-US" w:eastAsia="zh-CN"/>
        </w:rPr>
        <w:t>Proposal 1: Reuse the legacy SCell activation delay requirement for ATG</w:t>
      </w:r>
      <w:r>
        <w:rPr>
          <w:rFonts w:hint="eastAsia" w:eastAsia="宋体" w:cs="Times New Roman"/>
          <w:color w:val="0070C0"/>
          <w:szCs w:val="24"/>
          <w:lang w:val="en-US" w:eastAsia="zh-CN"/>
        </w:rPr>
        <w:t xml:space="preserve"> (CMCC, ZTE, LGE, CATT)</w:t>
      </w:r>
    </w:p>
    <w:p w14:paraId="6365864A">
      <w:pPr>
        <w:pStyle w:val="150"/>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Cs w:val="24"/>
          <w:highlight w:val="none"/>
          <w:lang w:val="en-US" w:eastAsia="zh-CN"/>
        </w:rPr>
      </w:pPr>
      <w:r>
        <w:rPr>
          <w:rFonts w:hint="eastAsia" w:eastAsia="宋体" w:cs="Times New Roman"/>
          <w:color w:val="0070C0"/>
          <w:szCs w:val="24"/>
          <w:lang w:val="en-US" w:eastAsia="zh-CN"/>
        </w:rPr>
        <w:t>Proposal 2: (Ericsson)</w:t>
      </w:r>
    </w:p>
    <w:p w14:paraId="413A4A3D">
      <w:pPr>
        <w:pStyle w:val="150"/>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color w:val="0070C0"/>
          <w:szCs w:val="24"/>
          <w:highlight w:val="none"/>
          <w:lang w:val="en-US" w:eastAsia="zh-CN"/>
        </w:rPr>
      </w:pPr>
      <w:r>
        <w:rPr>
          <w:rFonts w:hint="default" w:ascii="Times New Roman" w:hAnsi="Times New Roman" w:eastAsia="宋体" w:cs="Times New Roman"/>
          <w:color w:val="0070C0"/>
          <w:szCs w:val="24"/>
          <w:highlight w:val="none"/>
          <w:lang w:val="en-US" w:eastAsia="zh-CN"/>
        </w:rPr>
        <w:t>In Known SCell with common Rx beam, the T</w:t>
      </w:r>
      <w:r>
        <w:rPr>
          <w:rFonts w:hint="default" w:ascii="Times New Roman" w:hAnsi="Times New Roman" w:eastAsia="宋体" w:cs="Times New Roman"/>
          <w:color w:val="0070C0"/>
          <w:szCs w:val="24"/>
          <w:highlight w:val="none"/>
          <w:vertAlign w:val="subscript"/>
          <w:lang w:val="en-US" w:eastAsia="zh-CN"/>
        </w:rPr>
        <w:t>activation_time</w:t>
      </w:r>
      <w:r>
        <w:rPr>
          <w:rFonts w:hint="default" w:ascii="Times New Roman" w:hAnsi="Times New Roman" w:eastAsia="宋体" w:cs="Times New Roman"/>
          <w:color w:val="0070C0"/>
          <w:szCs w:val="24"/>
          <w:highlight w:val="none"/>
          <w:lang w:val="en-US" w:eastAsia="zh-CN"/>
        </w:rPr>
        <w:t xml:space="preserve"> time can be 3ms</w:t>
      </w:r>
    </w:p>
    <w:p w14:paraId="16C5A95A">
      <w:pPr>
        <w:pStyle w:val="150"/>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color w:val="0070C0"/>
          <w:szCs w:val="24"/>
          <w:highlight w:val="none"/>
          <w:lang w:val="en-US" w:eastAsia="zh-CN"/>
        </w:rPr>
      </w:pPr>
      <w:r>
        <w:rPr>
          <w:rFonts w:hint="eastAsia" w:eastAsia="宋体" w:cs="Times New Roman"/>
          <w:color w:val="0070C0"/>
          <w:szCs w:val="24"/>
          <w:highlight w:val="none"/>
          <w:lang w:val="en-US" w:eastAsia="zh-CN"/>
        </w:rPr>
        <w:t>I</w:t>
      </w:r>
      <w:r>
        <w:rPr>
          <w:rFonts w:hint="default" w:ascii="Times New Roman" w:hAnsi="Times New Roman" w:eastAsia="宋体" w:cs="Times New Roman"/>
          <w:color w:val="0070C0"/>
          <w:szCs w:val="24"/>
          <w:highlight w:val="none"/>
          <w:lang w:val="en-US" w:eastAsia="zh-CN"/>
        </w:rPr>
        <w:t>f the target SCell is unknown with common Rx beam, T</w:t>
      </w:r>
      <w:r>
        <w:rPr>
          <w:rFonts w:hint="default" w:ascii="Times New Roman" w:hAnsi="Times New Roman" w:eastAsia="宋体" w:cs="Times New Roman"/>
          <w:color w:val="0070C0"/>
          <w:szCs w:val="24"/>
          <w:highlight w:val="none"/>
          <w:vertAlign w:val="subscript"/>
          <w:lang w:val="en-US" w:eastAsia="zh-CN"/>
        </w:rPr>
        <w:t>activation_time</w:t>
      </w:r>
      <w:r>
        <w:rPr>
          <w:rFonts w:hint="default" w:ascii="Times New Roman" w:hAnsi="Times New Roman" w:eastAsia="宋体" w:cs="Times New Roman"/>
          <w:color w:val="0070C0"/>
          <w:szCs w:val="24"/>
          <w:highlight w:val="none"/>
          <w:lang w:val="en-US" w:eastAsia="zh-CN"/>
        </w:rPr>
        <w:t xml:space="preserve"> is 3ms+T</w:t>
      </w:r>
      <w:r>
        <w:rPr>
          <w:rFonts w:hint="default" w:ascii="Times New Roman" w:hAnsi="Times New Roman" w:eastAsia="宋体" w:cs="Times New Roman"/>
          <w:color w:val="0070C0"/>
          <w:szCs w:val="24"/>
          <w:highlight w:val="none"/>
          <w:vertAlign w:val="subscript"/>
          <w:lang w:val="en-US" w:eastAsia="zh-CN"/>
        </w:rPr>
        <w:t>FirstSSB</w:t>
      </w:r>
      <w:r>
        <w:rPr>
          <w:rFonts w:hint="default" w:ascii="Times New Roman" w:hAnsi="Times New Roman" w:eastAsia="宋体" w:cs="Times New Roman"/>
          <w:color w:val="0070C0"/>
          <w:szCs w:val="24"/>
          <w:highlight w:val="none"/>
          <w:lang w:val="en-US" w:eastAsia="zh-CN"/>
        </w:rPr>
        <w:t>+ 2ms.</w:t>
      </w:r>
    </w:p>
    <w:p w14:paraId="1E9EA2E9">
      <w:pPr>
        <w:pStyle w:val="150"/>
        <w:numPr>
          <w:ilvl w:val="0"/>
          <w:numId w:val="4"/>
        </w:numPr>
        <w:overflowPunct/>
        <w:autoSpaceDE/>
        <w:autoSpaceDN/>
        <w:adjustRightInd/>
        <w:spacing w:after="120"/>
        <w:ind w:left="720" w:firstLineChars="0"/>
        <w:textAlignment w:val="auto"/>
        <w:rPr>
          <w:rFonts w:hint="default" w:ascii="Times New Roman" w:hAnsi="Times New Roman" w:eastAsia="宋体" w:cs="Times New Roman"/>
          <w:b/>
          <w:bCs/>
          <w:color w:val="0070C0"/>
          <w:szCs w:val="24"/>
          <w:lang w:eastAsia="zh-CN"/>
        </w:rPr>
      </w:pPr>
      <w:r>
        <w:rPr>
          <w:rFonts w:hint="default" w:ascii="Times New Roman" w:hAnsi="Times New Roman" w:eastAsia="宋体" w:cs="Times New Roman"/>
          <w:b/>
          <w:bCs/>
          <w:color w:val="0070C0"/>
          <w:szCs w:val="24"/>
          <w:lang w:eastAsia="zh-CN"/>
        </w:rPr>
        <w:t>Recommended WF</w:t>
      </w:r>
    </w:p>
    <w:p w14:paraId="68F52A22">
      <w:pPr>
        <w:pStyle w:val="150"/>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Cs w:val="24"/>
          <w:lang w:eastAsia="zh-CN"/>
        </w:rPr>
      </w:pPr>
      <w:r>
        <w:rPr>
          <w:rFonts w:hint="default" w:ascii="Times New Roman" w:hAnsi="Times New Roman" w:eastAsia="宋体" w:cs="Times New Roman"/>
          <w:color w:val="0070C0"/>
          <w:szCs w:val="24"/>
          <w:lang w:val="en-US" w:eastAsia="zh-CN"/>
        </w:rPr>
        <w:t>To be discussed</w:t>
      </w:r>
    </w:p>
    <w:p w14:paraId="7236871F">
      <w:pPr>
        <w:pStyle w:val="150"/>
        <w:overflowPunct/>
        <w:autoSpaceDE/>
        <w:autoSpaceDN/>
        <w:adjustRightInd/>
        <w:spacing w:after="120"/>
        <w:ind w:firstLine="0" w:firstLineChars="0"/>
        <w:textAlignment w:val="auto"/>
        <w:rPr>
          <w:rFonts w:hint="eastAsia"/>
          <w:color w:val="0070C0"/>
          <w:lang w:val="en-US" w:eastAsia="zh-CN"/>
        </w:rPr>
      </w:pPr>
    </w:p>
    <w:p w14:paraId="51861F8C">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E///: With common Rx beam, UE can skip the Beam sweeping, sync and AGC</w:t>
      </w:r>
    </w:p>
    <w:p w14:paraId="1DF90B67">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CMCC: Fine sync is needed.</w:t>
      </w:r>
    </w:p>
    <w:p w14:paraId="71E5B596">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ZTE: Share similar view with CMCC, 3ms need many side conditions.</w:t>
      </w:r>
    </w:p>
    <w:p w14:paraId="3AB451E2">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E///: Does that means same value for both Case 4 and Case 5?</w:t>
      </w:r>
    </w:p>
    <w:p w14:paraId="32A3A4B6">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ZTE: Reuse FR1.</w:t>
      </w:r>
    </w:p>
    <w:p w14:paraId="7B9AB3A5">
      <w:pPr>
        <w:pStyle w:val="150"/>
        <w:overflowPunct/>
        <w:autoSpaceDE/>
        <w:autoSpaceDN/>
        <w:adjustRightInd/>
        <w:spacing w:after="120"/>
        <w:ind w:firstLine="0" w:firstLineChars="0"/>
        <w:textAlignment w:val="auto"/>
        <w:rPr>
          <w:rFonts w:hint="default"/>
          <w:color w:val="0070C0"/>
          <w:highlight w:val="yellow"/>
          <w:lang w:val="en-US" w:eastAsia="zh-CN"/>
        </w:rPr>
      </w:pPr>
      <w:r>
        <w:rPr>
          <w:rFonts w:hint="eastAsia"/>
          <w:color w:val="0070C0"/>
          <w:highlight w:val="yellow"/>
          <w:lang w:val="en-US" w:eastAsia="zh-CN"/>
        </w:rPr>
        <w:t>Tentative agreement:</w:t>
      </w:r>
    </w:p>
    <w:p w14:paraId="74CC86CF">
      <w:pPr>
        <w:pStyle w:val="150"/>
        <w:overflowPunct/>
        <w:autoSpaceDE/>
        <w:autoSpaceDN/>
        <w:adjustRightInd/>
        <w:spacing w:after="120"/>
        <w:ind w:firstLine="0" w:firstLineChars="0"/>
        <w:textAlignment w:val="auto"/>
        <w:rPr>
          <w:rFonts w:hint="default"/>
          <w:color w:val="0070C0"/>
          <w:lang w:val="en-US" w:eastAsia="zh-CN"/>
        </w:rPr>
      </w:pPr>
      <w:r>
        <w:rPr>
          <w:rFonts w:hint="default" w:ascii="Times New Roman" w:hAnsi="Times New Roman" w:eastAsia="宋体" w:cs="Times New Roman"/>
          <w:color w:val="0070C0"/>
          <w:szCs w:val="24"/>
          <w:lang w:val="en-US" w:eastAsia="zh-CN"/>
        </w:rPr>
        <w:t xml:space="preserve"> Reuse the legacy SCell activation delay requirement for ATG</w:t>
      </w:r>
    </w:p>
    <w:p w14:paraId="54E82161">
      <w:pPr>
        <w:rPr>
          <w:b/>
          <w:color w:val="0070C0"/>
          <w:u w:val="single"/>
          <w:lang w:val="en-US" w:eastAsia="zh-CN"/>
        </w:rPr>
      </w:pPr>
    </w:p>
    <w:p w14:paraId="50CC3192">
      <w:pPr>
        <w:rPr>
          <w:b/>
          <w:color w:val="0070C0"/>
          <w:u w:val="single"/>
          <w:lang w:val="en-US" w:eastAsia="zh-CN"/>
        </w:rPr>
      </w:pPr>
    </w:p>
    <w:p w14:paraId="73ABCEE0">
      <w:pPr>
        <w:rPr>
          <w:rFonts w:hint="default" w:ascii="Times New Roman" w:hAnsi="Times New Roman" w:cs="Times New Roman"/>
          <w:b/>
          <w:color w:val="0070C0"/>
          <w:u w:val="single"/>
          <w:lang w:val="en-US" w:eastAsia="zh-CN"/>
        </w:rPr>
      </w:pPr>
      <w:r>
        <w:rPr>
          <w:rFonts w:hint="eastAsia"/>
          <w:b/>
          <w:color w:val="0070C0"/>
          <w:u w:val="single"/>
          <w:lang w:val="en-US" w:eastAsia="zh-CN"/>
        </w:rPr>
        <w:t>Issue 1-2-3: Active BWP switch delay of single CC requirement</w:t>
      </w:r>
    </w:p>
    <w:p w14:paraId="657232AE">
      <w:pPr>
        <w:pStyle w:val="150"/>
        <w:numPr>
          <w:ilvl w:val="0"/>
          <w:numId w:val="4"/>
        </w:numPr>
        <w:overflowPunct/>
        <w:autoSpaceDE/>
        <w:autoSpaceDN/>
        <w:adjustRightInd/>
        <w:spacing w:after="120"/>
        <w:ind w:left="720" w:firstLineChars="0"/>
        <w:textAlignment w:val="auto"/>
        <w:rPr>
          <w:rFonts w:hint="default" w:ascii="Times New Roman" w:hAnsi="Times New Roman" w:eastAsia="宋体" w:cs="Times New Roman"/>
          <w:b/>
          <w:bCs/>
          <w:color w:val="0070C0"/>
          <w:szCs w:val="24"/>
          <w:lang w:eastAsia="zh-CN"/>
        </w:rPr>
      </w:pPr>
      <w:r>
        <w:rPr>
          <w:rFonts w:hint="default" w:ascii="Times New Roman" w:hAnsi="Times New Roman" w:eastAsia="宋体" w:cs="Times New Roman"/>
          <w:b/>
          <w:bCs/>
          <w:color w:val="0070C0"/>
          <w:szCs w:val="24"/>
          <w:lang w:eastAsia="zh-CN"/>
        </w:rPr>
        <w:t>Proposals</w:t>
      </w:r>
    </w:p>
    <w:p w14:paraId="5746D5B3">
      <w:pPr>
        <w:pStyle w:val="150"/>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Cs w:val="24"/>
          <w:highlight w:val="none"/>
          <w:lang w:val="en-US" w:eastAsia="zh-CN"/>
        </w:rPr>
      </w:pPr>
      <w:r>
        <w:rPr>
          <w:rFonts w:hint="default" w:ascii="Times New Roman" w:hAnsi="Times New Roman" w:eastAsia="宋体" w:cs="Times New Roman"/>
          <w:color w:val="0070C0"/>
          <w:szCs w:val="24"/>
          <w:lang w:val="en-US" w:eastAsia="zh-CN"/>
        </w:rPr>
        <w:t>Proposal 1: Introduce SCell dormancy related impact for active BWP switch delay of single CC requirement. The legacy TN requirement can be reused.</w:t>
      </w:r>
      <w:r>
        <w:rPr>
          <w:rFonts w:hint="eastAsia" w:eastAsia="宋体" w:cs="Times New Roman"/>
          <w:color w:val="0070C0"/>
          <w:szCs w:val="24"/>
          <w:lang w:val="en-US" w:eastAsia="zh-CN"/>
        </w:rPr>
        <w:t xml:space="preserve"> (CMCC)</w:t>
      </w:r>
    </w:p>
    <w:p w14:paraId="0E92BDD1">
      <w:pPr>
        <w:pStyle w:val="150"/>
        <w:numPr>
          <w:ilvl w:val="0"/>
          <w:numId w:val="4"/>
        </w:numPr>
        <w:overflowPunct/>
        <w:autoSpaceDE/>
        <w:autoSpaceDN/>
        <w:adjustRightInd/>
        <w:spacing w:after="120"/>
        <w:ind w:left="720" w:firstLineChars="0"/>
        <w:textAlignment w:val="auto"/>
        <w:rPr>
          <w:rFonts w:hint="default" w:ascii="Times New Roman" w:hAnsi="Times New Roman" w:eastAsia="宋体" w:cs="Times New Roman"/>
          <w:b/>
          <w:bCs/>
          <w:color w:val="0070C0"/>
          <w:szCs w:val="24"/>
          <w:lang w:eastAsia="zh-CN"/>
        </w:rPr>
      </w:pPr>
      <w:r>
        <w:rPr>
          <w:rFonts w:hint="default" w:ascii="Times New Roman" w:hAnsi="Times New Roman" w:eastAsia="宋体" w:cs="Times New Roman"/>
          <w:b/>
          <w:bCs/>
          <w:color w:val="0070C0"/>
          <w:szCs w:val="24"/>
          <w:lang w:eastAsia="zh-CN"/>
        </w:rPr>
        <w:t>Recommended WF</w:t>
      </w:r>
    </w:p>
    <w:p w14:paraId="1BCBE4F2">
      <w:pPr>
        <w:pStyle w:val="150"/>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Cs w:val="24"/>
          <w:lang w:eastAsia="zh-CN"/>
        </w:rPr>
      </w:pPr>
      <w:r>
        <w:rPr>
          <w:rFonts w:hint="default" w:ascii="Times New Roman" w:hAnsi="Times New Roman" w:eastAsia="宋体" w:cs="Times New Roman"/>
          <w:color w:val="0070C0"/>
          <w:szCs w:val="24"/>
          <w:lang w:val="en-US" w:eastAsia="zh-CN"/>
        </w:rPr>
        <w:t>To be discussed</w:t>
      </w:r>
    </w:p>
    <w:p w14:paraId="5669D703">
      <w:pPr>
        <w:pStyle w:val="150"/>
        <w:numPr>
          <w:ilvl w:val="0"/>
          <w:numId w:val="0"/>
        </w:numPr>
        <w:overflowPunct/>
        <w:autoSpaceDE/>
        <w:autoSpaceDN/>
        <w:adjustRightInd/>
        <w:spacing w:after="120"/>
        <w:textAlignment w:val="auto"/>
        <w:rPr>
          <w:rFonts w:hint="default" w:ascii="Times New Roman" w:hAnsi="Times New Roman" w:eastAsia="宋体" w:cs="Times New Roman"/>
          <w:color w:val="0070C0"/>
          <w:szCs w:val="24"/>
          <w:lang w:val="en-US" w:eastAsia="zh-CN"/>
        </w:rPr>
      </w:pPr>
    </w:p>
    <w:p w14:paraId="7911DBB0">
      <w:pPr>
        <w:pStyle w:val="150"/>
        <w:numPr>
          <w:ilvl w:val="0"/>
          <w:numId w:val="0"/>
        </w:numPr>
        <w:overflowPunct/>
        <w:autoSpaceDE/>
        <w:autoSpaceDN/>
        <w:adjustRightInd/>
        <w:spacing w:after="120"/>
        <w:textAlignment w:val="auto"/>
        <w:rPr>
          <w:rFonts w:hint="eastAsia" w:eastAsia="宋体" w:cs="Times New Roman"/>
          <w:color w:val="0070C0"/>
          <w:szCs w:val="24"/>
          <w:lang w:val="en-US" w:eastAsia="zh-CN"/>
        </w:rPr>
      </w:pPr>
      <w:r>
        <w:rPr>
          <w:rFonts w:hint="eastAsia" w:eastAsia="宋体" w:cs="Times New Roman"/>
          <w:color w:val="0070C0"/>
          <w:szCs w:val="24"/>
          <w:lang w:val="en-US" w:eastAsia="zh-CN"/>
        </w:rPr>
        <w:t>QC: Is SCell dormancy is typical case for ATG? What means of single CC?</w:t>
      </w:r>
    </w:p>
    <w:p w14:paraId="730900D1">
      <w:pPr>
        <w:pStyle w:val="150"/>
        <w:overflowPunct/>
        <w:autoSpaceDE/>
        <w:autoSpaceDN/>
        <w:adjustRightInd/>
        <w:spacing w:after="120"/>
        <w:ind w:firstLine="0" w:firstLineChars="0"/>
        <w:textAlignment w:val="auto"/>
        <w:rPr>
          <w:rFonts w:hint="eastAsia"/>
          <w:color w:val="0070C0"/>
          <w:highlight w:val="yellow"/>
          <w:lang w:val="en-US" w:eastAsia="zh-CN"/>
        </w:rPr>
      </w:pPr>
    </w:p>
    <w:p w14:paraId="538908F6">
      <w:pPr>
        <w:pStyle w:val="150"/>
        <w:overflowPunct/>
        <w:autoSpaceDE/>
        <w:autoSpaceDN/>
        <w:adjustRightInd/>
        <w:spacing w:after="120"/>
        <w:ind w:firstLine="0" w:firstLineChars="0"/>
        <w:textAlignment w:val="auto"/>
        <w:rPr>
          <w:rFonts w:hint="default"/>
          <w:color w:val="0070C0"/>
          <w:highlight w:val="yellow"/>
          <w:lang w:val="en-US" w:eastAsia="zh-CN"/>
        </w:rPr>
      </w:pPr>
      <w:r>
        <w:rPr>
          <w:rFonts w:hint="eastAsia"/>
          <w:color w:val="0070C0"/>
          <w:highlight w:val="yellow"/>
          <w:lang w:val="en-US" w:eastAsia="zh-CN"/>
        </w:rPr>
        <w:t>Tentative agreement:</w:t>
      </w:r>
    </w:p>
    <w:p w14:paraId="6FC9DF4D">
      <w:pPr>
        <w:pStyle w:val="150"/>
        <w:numPr>
          <w:ilvl w:val="0"/>
          <w:numId w:val="0"/>
        </w:numPr>
        <w:overflowPunct/>
        <w:autoSpaceDE/>
        <w:autoSpaceDN/>
        <w:adjustRightInd/>
        <w:spacing w:after="120"/>
        <w:textAlignment w:val="auto"/>
        <w:rPr>
          <w:rFonts w:hint="default" w:ascii="Times New Roman" w:hAnsi="Times New Roman" w:eastAsia="宋体" w:cs="Times New Roman"/>
          <w:color w:val="0070C0"/>
          <w:szCs w:val="24"/>
          <w:lang w:val="en-US" w:eastAsia="zh-CN"/>
        </w:rPr>
      </w:pPr>
      <w:r>
        <w:rPr>
          <w:rFonts w:hint="default" w:ascii="Times New Roman" w:hAnsi="Times New Roman" w:eastAsia="宋体" w:cs="Times New Roman"/>
          <w:color w:val="0070C0"/>
          <w:szCs w:val="24"/>
          <w:lang w:val="en-US" w:eastAsia="zh-CN"/>
        </w:rPr>
        <w:t>Introduce SCell dormancy related impact for active BWP switch delay of single CC requirement. The legacy TN requirement can be reused.</w:t>
      </w:r>
    </w:p>
    <w:p w14:paraId="0412B282">
      <w:pPr>
        <w:pStyle w:val="150"/>
        <w:numPr>
          <w:ilvl w:val="0"/>
          <w:numId w:val="0"/>
        </w:numPr>
        <w:overflowPunct/>
        <w:autoSpaceDE/>
        <w:autoSpaceDN/>
        <w:adjustRightInd/>
        <w:spacing w:after="120"/>
        <w:textAlignment w:val="auto"/>
        <w:rPr>
          <w:rFonts w:hint="default" w:ascii="Times New Roman" w:hAnsi="Times New Roman" w:eastAsia="宋体" w:cs="Times New Roman"/>
          <w:color w:val="0070C0"/>
          <w:szCs w:val="24"/>
          <w:lang w:val="en-US" w:eastAsia="zh-CN"/>
        </w:rPr>
      </w:pPr>
      <w:r>
        <w:rPr>
          <w:rFonts w:hint="eastAsia" w:eastAsia="宋体" w:cs="Times New Roman"/>
          <w:color w:val="0070C0"/>
          <w:szCs w:val="24"/>
          <w:lang w:val="en-US" w:eastAsia="zh-CN"/>
        </w:rPr>
        <w:t>Can be revert if technical issue found.</w:t>
      </w:r>
    </w:p>
    <w:p w14:paraId="320FBCB5">
      <w:pPr>
        <w:pStyle w:val="150"/>
        <w:numPr>
          <w:ilvl w:val="0"/>
          <w:numId w:val="0"/>
        </w:numPr>
        <w:overflowPunct/>
        <w:autoSpaceDE/>
        <w:autoSpaceDN/>
        <w:adjustRightInd/>
        <w:spacing w:after="120"/>
        <w:textAlignment w:val="auto"/>
        <w:rPr>
          <w:rFonts w:hint="default" w:ascii="Times New Roman" w:hAnsi="Times New Roman" w:eastAsia="宋体" w:cs="Times New Roman"/>
          <w:color w:val="0070C0"/>
          <w:szCs w:val="24"/>
          <w:lang w:val="en-US" w:eastAsia="zh-CN"/>
        </w:rPr>
      </w:pPr>
    </w:p>
    <w:p w14:paraId="0A832738">
      <w:pPr>
        <w:pStyle w:val="150"/>
        <w:overflowPunct/>
        <w:autoSpaceDE/>
        <w:autoSpaceDN/>
        <w:adjustRightInd/>
        <w:spacing w:after="120"/>
        <w:ind w:firstLine="0" w:firstLineChars="0"/>
        <w:textAlignment w:val="auto"/>
        <w:rPr>
          <w:rFonts w:hint="default" w:eastAsia="宋体"/>
          <w:b/>
          <w:color w:val="0070C0"/>
          <w:sz w:val="20"/>
          <w:szCs w:val="20"/>
          <w:u w:val="single"/>
          <w:lang w:val="en-US" w:eastAsia="zh-CN"/>
        </w:rPr>
      </w:pPr>
      <w:r>
        <w:rPr>
          <w:rFonts w:hint="eastAsia" w:eastAsia="宋体"/>
          <w:b/>
          <w:color w:val="0070C0"/>
          <w:u w:val="single"/>
          <w:lang w:val="en-US" w:eastAsia="zh-CN"/>
        </w:rPr>
        <w:t xml:space="preserve">Issue 1-3-1: Sharing factor between L1 measurement and RRM measurement - Condition for </w:t>
      </w:r>
      <w:r>
        <w:rPr>
          <w:b/>
          <w:color w:val="0070C0"/>
          <w:sz w:val="20"/>
          <w:szCs w:val="20"/>
          <w:u w:val="single"/>
          <w:lang w:eastAsia="en-GB"/>
        </w:rPr>
        <w:t>K</w:t>
      </w:r>
      <w:r>
        <w:rPr>
          <w:b/>
          <w:color w:val="0070C0"/>
          <w:sz w:val="20"/>
          <w:szCs w:val="20"/>
          <w:u w:val="single"/>
          <w:vertAlign w:val="subscript"/>
          <w:lang w:eastAsia="en-GB"/>
        </w:rPr>
        <w:t>layer1_measurement</w:t>
      </w:r>
      <w:r>
        <w:rPr>
          <w:b/>
          <w:color w:val="0070C0"/>
          <w:sz w:val="20"/>
          <w:szCs w:val="20"/>
          <w:u w:val="single"/>
          <w:lang w:eastAsia="en-GB"/>
        </w:rPr>
        <w:t>=1</w:t>
      </w:r>
      <w:r>
        <w:rPr>
          <w:rFonts w:hint="eastAsia" w:eastAsia="宋体"/>
          <w:b/>
          <w:color w:val="0070C0"/>
          <w:sz w:val="20"/>
          <w:szCs w:val="20"/>
          <w:u w:val="single"/>
          <w:lang w:val="en-US" w:eastAsia="zh-CN"/>
        </w:rPr>
        <w:t xml:space="preserve"> and definition format</w:t>
      </w:r>
    </w:p>
    <w:p w14:paraId="08E550FF">
      <w:pPr>
        <w:pStyle w:val="150"/>
        <w:numPr>
          <w:ilvl w:val="1"/>
          <w:numId w:val="4"/>
        </w:numPr>
        <w:overflowPunct/>
        <w:autoSpaceDE/>
        <w:autoSpaceDN/>
        <w:adjustRightInd/>
        <w:spacing w:after="120"/>
        <w:ind w:left="1440" w:firstLineChars="0"/>
        <w:textAlignment w:val="auto"/>
        <w:rPr>
          <w:rFonts w:eastAsiaTheme="minorEastAsia"/>
          <w:bCs/>
          <w:sz w:val="20"/>
          <w:szCs w:val="20"/>
          <w:lang w:eastAsia="ko-KR" w:bidi="ar"/>
        </w:rPr>
      </w:pPr>
      <w:r>
        <w:rPr>
          <w:rFonts w:hint="eastAsia" w:eastAsiaTheme="minorEastAsia"/>
          <w:color w:val="0070C0"/>
          <w:sz w:val="20"/>
          <w:szCs w:val="20"/>
          <w:lang w:val="en-US" w:eastAsia="zh-CN"/>
        </w:rPr>
        <w:t>Background: Agreement in RAN4#114</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A54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8F9C914">
            <w:pPr>
              <w:numPr>
                <w:ilvl w:val="1"/>
                <w:numId w:val="4"/>
              </w:numPr>
              <w:overflowPunct w:val="0"/>
              <w:autoSpaceDE w:val="0"/>
              <w:autoSpaceDN w:val="0"/>
              <w:adjustRightInd w:val="0"/>
              <w:snapToGrid w:val="0"/>
              <w:spacing w:after="120"/>
              <w:ind w:left="1440"/>
              <w:textAlignment w:val="baseline"/>
              <w:rPr>
                <w:sz w:val="20"/>
                <w:szCs w:val="21"/>
              </w:rPr>
            </w:pPr>
            <w:r>
              <w:rPr>
                <w:sz w:val="20"/>
                <w:szCs w:val="21"/>
              </w:rPr>
              <w:t>The K</w:t>
            </w:r>
            <w:r>
              <w:rPr>
                <w:sz w:val="20"/>
                <w:szCs w:val="21"/>
                <w:vertAlign w:val="subscript"/>
              </w:rPr>
              <w:t>layer1_measurement</w:t>
            </w:r>
            <w:r>
              <w:rPr>
                <w:sz w:val="20"/>
                <w:szCs w:val="21"/>
              </w:rPr>
              <w:t xml:space="preserve"> and P</w:t>
            </w:r>
            <w:r>
              <w:rPr>
                <w:sz w:val="20"/>
                <w:szCs w:val="21"/>
                <w:vertAlign w:val="subscript"/>
              </w:rPr>
              <w:t>sharing factor</w:t>
            </w:r>
            <w:r>
              <w:rPr>
                <w:sz w:val="20"/>
                <w:szCs w:val="21"/>
              </w:rPr>
              <w:t xml:space="preserve"> in CA scenario should be updated as (NOTE: take the intra-frequency measurement and L1-RSRP measurement as an example):</w:t>
            </w:r>
          </w:p>
          <w:p w14:paraId="0DE5BF7B">
            <w:pPr>
              <w:overflowPunct w:val="0"/>
              <w:autoSpaceDE w:val="0"/>
              <w:autoSpaceDN w:val="0"/>
              <w:adjustRightInd w:val="0"/>
              <w:snapToGrid w:val="0"/>
              <w:spacing w:after="120"/>
              <w:ind w:left="1500"/>
              <w:textAlignment w:val="baseline"/>
              <w:rPr>
                <w:sz w:val="20"/>
                <w:szCs w:val="21"/>
              </w:rPr>
            </w:pPr>
            <w:r>
              <w:rPr>
                <w:sz w:val="20"/>
                <w:szCs w:val="21"/>
              </w:rPr>
              <w:t>For UE with the antenna array,</w:t>
            </w:r>
          </w:p>
          <w:p w14:paraId="293D05FD">
            <w:pPr>
              <w:numPr>
                <w:ilvl w:val="2"/>
                <w:numId w:val="4"/>
              </w:numPr>
              <w:overflowPunct w:val="0"/>
              <w:autoSpaceDE w:val="0"/>
              <w:autoSpaceDN w:val="0"/>
              <w:adjustRightInd w:val="0"/>
              <w:snapToGrid w:val="0"/>
              <w:spacing w:after="120"/>
              <w:ind w:left="1860"/>
              <w:textAlignment w:val="baseline"/>
              <w:rPr>
                <w:sz w:val="20"/>
                <w:szCs w:val="21"/>
              </w:rPr>
            </w:pPr>
            <w:r>
              <w:rPr>
                <w:sz w:val="20"/>
                <w:szCs w:val="21"/>
              </w:rPr>
              <w:t>K</w:t>
            </w:r>
            <w:r>
              <w:rPr>
                <w:sz w:val="20"/>
                <w:szCs w:val="21"/>
                <w:vertAlign w:val="subscript"/>
              </w:rPr>
              <w:t>layer1_measurement</w:t>
            </w:r>
            <w:r>
              <w:rPr>
                <w:sz w:val="20"/>
                <w:szCs w:val="21"/>
              </w:rPr>
              <w:t xml:space="preserve">=1, </w:t>
            </w:r>
          </w:p>
          <w:p w14:paraId="0DD91DCA">
            <w:pPr>
              <w:numPr>
                <w:ilvl w:val="3"/>
                <w:numId w:val="4"/>
              </w:numPr>
              <w:overflowPunct w:val="0"/>
              <w:autoSpaceDE w:val="0"/>
              <w:autoSpaceDN w:val="0"/>
              <w:adjustRightInd w:val="0"/>
              <w:snapToGrid w:val="0"/>
              <w:spacing w:after="120"/>
              <w:ind w:left="2280"/>
              <w:textAlignment w:val="baseline"/>
              <w:rPr>
                <w:sz w:val="20"/>
                <w:szCs w:val="21"/>
              </w:rPr>
            </w:pPr>
            <w:r>
              <w:rPr>
                <w:sz w:val="20"/>
                <w:szCs w:val="21"/>
              </w:rPr>
              <w:t xml:space="preserve">if all of the reference signals configured for RLM, BFD, CBD or L1-RSRP for beam reporting outside measurement gap are not fully overlapped by intra-frequency SMTC occasions, or </w:t>
            </w:r>
          </w:p>
          <w:p w14:paraId="63744637">
            <w:pPr>
              <w:numPr>
                <w:ilvl w:val="3"/>
                <w:numId w:val="4"/>
              </w:numPr>
              <w:overflowPunct w:val="0"/>
              <w:autoSpaceDE w:val="0"/>
              <w:autoSpaceDN w:val="0"/>
              <w:adjustRightInd w:val="0"/>
              <w:snapToGrid w:val="0"/>
              <w:spacing w:after="120"/>
              <w:ind w:left="2280"/>
              <w:textAlignment w:val="baseline"/>
              <w:rPr>
                <w:sz w:val="20"/>
                <w:szCs w:val="21"/>
              </w:rPr>
            </w:pPr>
            <w:r>
              <w:rPr>
                <w:sz w:val="20"/>
                <w:szCs w:val="21"/>
              </w:rPr>
              <w:t xml:space="preserve">if all of the reference signals configured for RLM, BFD, CBD or L1-RSRP for beam reporting outside measurement gap are not fully overlapped by intra-frequency SMTC occasions </w:t>
            </w:r>
            <w:r>
              <w:rPr>
                <w:color w:val="FF0000"/>
                <w:sz w:val="20"/>
                <w:szCs w:val="21"/>
              </w:rPr>
              <w:t>[</w:t>
            </w:r>
            <w:r>
              <w:rPr>
                <w:color w:val="FF0000"/>
                <w:sz w:val="20"/>
                <w:szCs w:val="21"/>
                <w:u w:val="single"/>
              </w:rPr>
              <w:t xml:space="preserve">configured] </w:t>
            </w:r>
            <w:r>
              <w:rPr>
                <w:sz w:val="20"/>
                <w:szCs w:val="21"/>
                <w:u w:val="single"/>
              </w:rPr>
              <w:t>by same serving cell when inter-band carrier aggregation within FR1 is configured [and UE doesn’t support capability of case 4]</w:t>
            </w:r>
            <w:r>
              <w:rPr>
                <w:sz w:val="20"/>
                <w:szCs w:val="21"/>
              </w:rPr>
              <w:t xml:space="preserve"> or</w:t>
            </w:r>
          </w:p>
          <w:p w14:paraId="5187FC8A">
            <w:pPr>
              <w:numPr>
                <w:ilvl w:val="3"/>
                <w:numId w:val="4"/>
              </w:numPr>
              <w:overflowPunct w:val="0"/>
              <w:autoSpaceDE w:val="0"/>
              <w:autoSpaceDN w:val="0"/>
              <w:adjustRightInd w:val="0"/>
              <w:snapToGrid w:val="0"/>
              <w:spacing w:after="120"/>
              <w:ind w:left="2280"/>
              <w:textAlignment w:val="baseline"/>
              <w:rPr>
                <w:sz w:val="20"/>
                <w:szCs w:val="21"/>
              </w:rPr>
            </w:pPr>
            <w:r>
              <w:rPr>
                <w:sz w:val="20"/>
                <w:szCs w:val="21"/>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 or</w:t>
            </w:r>
          </w:p>
          <w:p w14:paraId="041499F9">
            <w:pPr>
              <w:numPr>
                <w:ilvl w:val="3"/>
                <w:numId w:val="4"/>
              </w:numPr>
              <w:overflowPunct w:val="0"/>
              <w:autoSpaceDE w:val="0"/>
              <w:autoSpaceDN w:val="0"/>
              <w:adjustRightInd w:val="0"/>
              <w:snapToGrid w:val="0"/>
              <w:spacing w:after="120"/>
              <w:ind w:left="2280"/>
              <w:textAlignment w:val="baseline"/>
              <w:rPr>
                <w:sz w:val="20"/>
                <w:szCs w:val="21"/>
              </w:rPr>
            </w:pPr>
            <w:r>
              <w:rPr>
                <w:sz w:val="20"/>
                <w:szCs w:val="21"/>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Pr>
                <w:color w:val="FF0000"/>
                <w:sz w:val="20"/>
                <w:szCs w:val="21"/>
              </w:rPr>
              <w:t>[</w:t>
            </w:r>
            <w:r>
              <w:rPr>
                <w:color w:val="FF0000"/>
                <w:sz w:val="20"/>
                <w:szCs w:val="21"/>
                <w:u w:val="single"/>
              </w:rPr>
              <w:t xml:space="preserve">configured] </w:t>
            </w:r>
            <w:r>
              <w:rPr>
                <w:sz w:val="20"/>
                <w:szCs w:val="21"/>
                <w:u w:val="single"/>
              </w:rPr>
              <w:t>by same serving cell when inter-band carrier aggregation within FR1 is configured [and UE doesn’t support capability of case 4]</w:t>
            </w:r>
            <w:r>
              <w:rPr>
                <w:sz w:val="20"/>
                <w:szCs w:val="21"/>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3B179394">
            <w:pPr>
              <w:numPr>
                <w:ilvl w:val="2"/>
                <w:numId w:val="4"/>
              </w:numPr>
              <w:overflowPunct w:val="0"/>
              <w:autoSpaceDE w:val="0"/>
              <w:autoSpaceDN w:val="0"/>
              <w:adjustRightInd w:val="0"/>
              <w:snapToGrid w:val="0"/>
              <w:spacing w:after="120"/>
              <w:ind w:left="1860"/>
              <w:textAlignment w:val="baseline"/>
              <w:rPr>
                <w:sz w:val="20"/>
                <w:szCs w:val="21"/>
              </w:rPr>
            </w:pPr>
            <w:r>
              <w:rPr>
                <w:sz w:val="20"/>
                <w:szCs w:val="21"/>
              </w:rPr>
              <w:t>K</w:t>
            </w:r>
            <w:r>
              <w:rPr>
                <w:sz w:val="20"/>
                <w:szCs w:val="21"/>
                <w:vertAlign w:val="subscript"/>
              </w:rPr>
              <w:t>layer1_measurement</w:t>
            </w:r>
            <w:r>
              <w:rPr>
                <w:sz w:val="20"/>
                <w:szCs w:val="21"/>
              </w:rPr>
              <w:t>=1.5, otherwise.</w:t>
            </w:r>
          </w:p>
          <w:p w14:paraId="148DC30D">
            <w:pPr>
              <w:overflowPunct w:val="0"/>
              <w:autoSpaceDE w:val="0"/>
              <w:autoSpaceDN w:val="0"/>
              <w:adjustRightInd w:val="0"/>
              <w:snapToGrid w:val="0"/>
              <w:spacing w:after="120"/>
              <w:textAlignment w:val="baseline"/>
              <w:rPr>
                <w:sz w:val="20"/>
                <w:szCs w:val="21"/>
              </w:rPr>
            </w:pPr>
          </w:p>
          <w:p w14:paraId="03EF9200">
            <w:pPr>
              <w:overflowPunct w:val="0"/>
              <w:autoSpaceDE w:val="0"/>
              <w:autoSpaceDN w:val="0"/>
              <w:adjustRightInd w:val="0"/>
              <w:snapToGrid w:val="0"/>
              <w:spacing w:after="120"/>
              <w:ind w:left="1500"/>
              <w:textAlignment w:val="baseline"/>
              <w:rPr>
                <w:sz w:val="20"/>
                <w:szCs w:val="21"/>
              </w:rPr>
            </w:pPr>
            <w:r>
              <w:rPr>
                <w:sz w:val="20"/>
                <w:szCs w:val="21"/>
              </w:rPr>
              <w:t xml:space="preserve">For ATG UE with the antenna array, </w:t>
            </w:r>
          </w:p>
          <w:p w14:paraId="4D4A5511">
            <w:pPr>
              <w:numPr>
                <w:ilvl w:val="2"/>
                <w:numId w:val="4"/>
              </w:numPr>
              <w:overflowPunct w:val="0"/>
              <w:autoSpaceDE w:val="0"/>
              <w:autoSpaceDN w:val="0"/>
              <w:adjustRightInd w:val="0"/>
              <w:snapToGrid w:val="0"/>
              <w:spacing w:after="120"/>
              <w:ind w:left="1860"/>
              <w:textAlignment w:val="baseline"/>
              <w:rPr>
                <w:sz w:val="20"/>
                <w:szCs w:val="21"/>
              </w:rPr>
            </w:pPr>
            <w:r>
              <w:rPr>
                <w:sz w:val="20"/>
                <w:szCs w:val="21"/>
              </w:rPr>
              <w:t>P value for SSB resource to be measured is defined as</w:t>
            </w:r>
          </w:p>
          <w:p w14:paraId="4DCAA87E">
            <w:pPr>
              <w:numPr>
                <w:ilvl w:val="3"/>
                <w:numId w:val="4"/>
              </w:numPr>
              <w:overflowPunct w:val="0"/>
              <w:autoSpaceDE w:val="0"/>
              <w:autoSpaceDN w:val="0"/>
              <w:adjustRightInd w:val="0"/>
              <w:snapToGrid w:val="0"/>
              <w:spacing w:after="120"/>
              <w:ind w:left="2280"/>
              <w:textAlignment w:val="baseline"/>
              <w:rPr>
                <w:sz w:val="20"/>
                <w:szCs w:val="21"/>
              </w:rPr>
            </w:pPr>
            <w:r>
              <w:rPr>
                <w:sz w:val="20"/>
                <w:szCs w:val="21"/>
              </w:rPr>
              <w:t>N</w:t>
            </w:r>
            <w:r>
              <w:rPr>
                <w:sz w:val="20"/>
                <w:szCs w:val="21"/>
                <w:vertAlign w:val="subscript"/>
              </w:rPr>
              <w:t>total</w:t>
            </w:r>
            <w:r>
              <w:rPr>
                <w:sz w:val="20"/>
                <w:szCs w:val="21"/>
              </w:rPr>
              <w:t xml:space="preserve"> / N</w:t>
            </w:r>
            <w:r>
              <w:rPr>
                <w:sz w:val="20"/>
                <w:szCs w:val="21"/>
                <w:vertAlign w:val="subscript"/>
              </w:rPr>
              <w:t>available</w:t>
            </w:r>
            <w:r>
              <w:rPr>
                <w:sz w:val="20"/>
                <w:szCs w:val="21"/>
              </w:rPr>
              <w:t xml:space="preserve"> with N</w:t>
            </w:r>
            <w:r>
              <w:rPr>
                <w:sz w:val="20"/>
                <w:szCs w:val="21"/>
                <w:vertAlign w:val="subscript"/>
              </w:rPr>
              <w:t>available</w:t>
            </w:r>
            <w:r>
              <w:rPr>
                <w:sz w:val="20"/>
                <w:szCs w:val="21"/>
              </w:rPr>
              <w:t xml:space="preserve"> &gt; 0</w:t>
            </w:r>
          </w:p>
          <w:p w14:paraId="13501D08">
            <w:pPr>
              <w:numPr>
                <w:ilvl w:val="3"/>
                <w:numId w:val="4"/>
              </w:numPr>
              <w:overflowPunct w:val="0"/>
              <w:autoSpaceDE w:val="0"/>
              <w:autoSpaceDN w:val="0"/>
              <w:adjustRightInd w:val="0"/>
              <w:snapToGrid w:val="0"/>
              <w:spacing w:after="120"/>
              <w:ind w:left="2280"/>
              <w:textAlignment w:val="baseline"/>
              <w:rPr>
                <w:sz w:val="20"/>
                <w:szCs w:val="21"/>
              </w:rPr>
            </w:pPr>
            <w:r>
              <w:rPr>
                <w:sz w:val="20"/>
                <w:szCs w:val="21"/>
              </w:rPr>
              <w:t>P</w:t>
            </w:r>
            <w:r>
              <w:rPr>
                <w:sz w:val="20"/>
                <w:szCs w:val="21"/>
                <w:vertAlign w:val="subscript"/>
              </w:rPr>
              <w:t>sharing factor</w:t>
            </w:r>
            <w:r>
              <w:rPr>
                <w:sz w:val="20"/>
                <w:szCs w:val="21"/>
              </w:rPr>
              <w:t xml:space="preserve"> * N</w:t>
            </w:r>
            <w:r>
              <w:rPr>
                <w:sz w:val="20"/>
                <w:szCs w:val="21"/>
                <w:vertAlign w:val="subscript"/>
              </w:rPr>
              <w:t>total</w:t>
            </w:r>
            <w:r>
              <w:rPr>
                <w:sz w:val="20"/>
                <w:szCs w:val="21"/>
              </w:rPr>
              <w:t xml:space="preserve"> / N</w:t>
            </w:r>
            <w:r>
              <w:rPr>
                <w:sz w:val="20"/>
                <w:szCs w:val="21"/>
                <w:vertAlign w:val="subscript"/>
              </w:rPr>
              <w:t>outside_MG</w:t>
            </w:r>
            <w:r>
              <w:rPr>
                <w:sz w:val="20"/>
                <w:szCs w:val="21"/>
              </w:rPr>
              <w:t xml:space="preserve"> with N</w:t>
            </w:r>
            <w:r>
              <w:rPr>
                <w:sz w:val="20"/>
                <w:szCs w:val="21"/>
                <w:vertAlign w:val="subscript"/>
              </w:rPr>
              <w:t>available</w:t>
            </w:r>
            <w:r>
              <w:rPr>
                <w:sz w:val="20"/>
                <w:szCs w:val="21"/>
              </w:rPr>
              <w:t xml:space="preserve"> = 0</w:t>
            </w:r>
          </w:p>
          <w:p w14:paraId="0985EF16">
            <w:pPr>
              <w:numPr>
                <w:ilvl w:val="3"/>
                <w:numId w:val="4"/>
              </w:numPr>
              <w:overflowPunct w:val="0"/>
              <w:autoSpaceDE w:val="0"/>
              <w:autoSpaceDN w:val="0"/>
              <w:adjustRightInd w:val="0"/>
              <w:snapToGrid w:val="0"/>
              <w:spacing w:after="120"/>
              <w:ind w:left="2280"/>
              <w:textAlignment w:val="baseline"/>
              <w:rPr>
                <w:sz w:val="20"/>
                <w:szCs w:val="21"/>
              </w:rPr>
            </w:pPr>
            <w:r>
              <w:rPr>
                <w:sz w:val="20"/>
                <w:szCs w:val="21"/>
              </w:rPr>
              <w:t>For a window W of duration max(T</w:t>
            </w:r>
            <w:r>
              <w:rPr>
                <w:sz w:val="20"/>
                <w:szCs w:val="21"/>
                <w:vertAlign w:val="subscript"/>
              </w:rPr>
              <w:t xml:space="preserve">L1,  </w:t>
            </w:r>
            <w:r>
              <w:rPr>
                <w:sz w:val="20"/>
                <w:szCs w:val="21"/>
              </w:rPr>
              <w:t xml:space="preserve">MGRP_max), where MGRP_max is the maximum MGRP across all configured per-UE measurement gaps, and starting at the beginning of any SSB resource occasion: </w:t>
            </w:r>
          </w:p>
          <w:p w14:paraId="6777B980">
            <w:pPr>
              <w:numPr>
                <w:ilvl w:val="3"/>
                <w:numId w:val="4"/>
              </w:numPr>
              <w:overflowPunct w:val="0"/>
              <w:autoSpaceDE w:val="0"/>
              <w:autoSpaceDN w:val="0"/>
              <w:adjustRightInd w:val="0"/>
              <w:snapToGrid w:val="0"/>
              <w:spacing w:after="120"/>
              <w:ind w:left="2280"/>
              <w:textAlignment w:val="baseline"/>
              <w:rPr>
                <w:sz w:val="20"/>
                <w:szCs w:val="21"/>
              </w:rPr>
            </w:pPr>
            <w:r>
              <w:rPr>
                <w:sz w:val="20"/>
                <w:szCs w:val="21"/>
              </w:rPr>
              <w:t>N</w:t>
            </w:r>
            <w:r>
              <w:rPr>
                <w:sz w:val="20"/>
                <w:szCs w:val="21"/>
                <w:vertAlign w:val="subscript"/>
              </w:rPr>
              <w:t>total</w:t>
            </w:r>
            <w:r>
              <w:rPr>
                <w:sz w:val="20"/>
                <w:szCs w:val="21"/>
              </w:rPr>
              <w:t xml:space="preserve"> is the total number of SSB resource occasions within the window W, including those overlapped with measurement gap occasions or SMTC occasions within the window W, and</w:t>
            </w:r>
          </w:p>
          <w:p w14:paraId="09ECAE1C">
            <w:pPr>
              <w:numPr>
                <w:ilvl w:val="3"/>
                <w:numId w:val="4"/>
              </w:numPr>
              <w:overflowPunct w:val="0"/>
              <w:autoSpaceDE w:val="0"/>
              <w:autoSpaceDN w:val="0"/>
              <w:adjustRightInd w:val="0"/>
              <w:snapToGrid w:val="0"/>
              <w:spacing w:after="120"/>
              <w:ind w:left="2280"/>
              <w:textAlignment w:val="baseline"/>
              <w:rPr>
                <w:sz w:val="20"/>
                <w:szCs w:val="21"/>
              </w:rPr>
            </w:pPr>
            <w:r>
              <w:rPr>
                <w:sz w:val="20"/>
                <w:szCs w:val="21"/>
              </w:rPr>
              <w:t>N</w:t>
            </w:r>
            <w:r>
              <w:rPr>
                <w:sz w:val="20"/>
                <w:szCs w:val="21"/>
                <w:vertAlign w:val="subscript"/>
              </w:rPr>
              <w:t>outside_MG</w:t>
            </w:r>
            <w:r>
              <w:rPr>
                <w:sz w:val="20"/>
                <w:szCs w:val="21"/>
              </w:rPr>
              <w:t xml:space="preserve"> is the number of SSB resource occasions that are not overlapped with any measurement gap occasion within the window W</w:t>
            </w:r>
          </w:p>
          <w:p w14:paraId="07E00DA8">
            <w:pPr>
              <w:numPr>
                <w:ilvl w:val="3"/>
                <w:numId w:val="4"/>
              </w:numPr>
              <w:overflowPunct w:val="0"/>
              <w:autoSpaceDE w:val="0"/>
              <w:autoSpaceDN w:val="0"/>
              <w:adjustRightInd w:val="0"/>
              <w:snapToGrid w:val="0"/>
              <w:spacing w:after="120"/>
              <w:ind w:left="2280"/>
              <w:textAlignment w:val="baseline"/>
              <w:rPr>
                <w:sz w:val="20"/>
                <w:szCs w:val="21"/>
                <w:u w:val="single"/>
              </w:rPr>
            </w:pPr>
            <w:r>
              <w:rPr>
                <w:sz w:val="20"/>
                <w:szCs w:val="21"/>
              </w:rPr>
              <w:t>N</w:t>
            </w:r>
            <w:r>
              <w:rPr>
                <w:sz w:val="20"/>
                <w:szCs w:val="21"/>
                <w:vertAlign w:val="subscript"/>
              </w:rPr>
              <w:t>available</w:t>
            </w:r>
            <w:r>
              <w:rPr>
                <w:sz w:val="20"/>
                <w:szCs w:val="21"/>
              </w:rPr>
              <w:t xml:space="preserve"> is the number of SSB resource occasions that are not overlapped with any measurement gap occasion nor any SMTC occasion within the window W, or not overlapped with any measurement gap occasion nor any SMTC occasion</w:t>
            </w:r>
            <w:r>
              <w:rPr>
                <w:sz w:val="20"/>
                <w:szCs w:val="21"/>
                <w:u w:val="single"/>
              </w:rPr>
              <w:t xml:space="preserve"> </w:t>
            </w:r>
            <w:r>
              <w:rPr>
                <w:color w:val="FF0000"/>
                <w:sz w:val="20"/>
                <w:szCs w:val="21"/>
              </w:rPr>
              <w:t>[</w:t>
            </w:r>
            <w:r>
              <w:rPr>
                <w:color w:val="FF0000"/>
                <w:sz w:val="20"/>
                <w:szCs w:val="21"/>
                <w:u w:val="single"/>
              </w:rPr>
              <w:t xml:space="preserve">configured] </w:t>
            </w:r>
            <w:r>
              <w:rPr>
                <w:sz w:val="20"/>
                <w:szCs w:val="21"/>
                <w:u w:val="single"/>
              </w:rPr>
              <w:t>by same serving cell within the window W when inter-band carrier aggregation within FR1 is configured [and UE doesn’t support capability of case 4].</w:t>
            </w:r>
          </w:p>
          <w:p w14:paraId="1E4E6A7F">
            <w:pPr>
              <w:numPr>
                <w:ilvl w:val="3"/>
                <w:numId w:val="4"/>
              </w:numPr>
              <w:overflowPunct w:val="0"/>
              <w:autoSpaceDE w:val="0"/>
              <w:autoSpaceDN w:val="0"/>
              <w:adjustRightInd w:val="0"/>
              <w:snapToGrid w:val="0"/>
              <w:spacing w:after="120"/>
              <w:ind w:left="2280"/>
              <w:textAlignment w:val="baseline"/>
              <w:rPr>
                <w:sz w:val="20"/>
                <w:szCs w:val="21"/>
              </w:rPr>
            </w:pPr>
            <w:r>
              <w:rPr>
                <w:sz w:val="20"/>
                <w:szCs w:val="21"/>
              </w:rPr>
              <w:t>T</w:t>
            </w:r>
            <w:r>
              <w:rPr>
                <w:sz w:val="20"/>
                <w:szCs w:val="21"/>
                <w:vertAlign w:val="subscript"/>
              </w:rPr>
              <w:t xml:space="preserve">L1 </w:t>
            </w:r>
            <w:r>
              <w:rPr>
                <w:sz w:val="20"/>
                <w:szCs w:val="21"/>
              </w:rPr>
              <w:t>is periodicity of the target SSB</w:t>
            </w:r>
          </w:p>
          <w:p w14:paraId="27FAC004">
            <w:pPr>
              <w:pStyle w:val="150"/>
              <w:numPr>
                <w:ilvl w:val="9"/>
                <w:numId w:val="0"/>
              </w:numPr>
              <w:overflowPunct/>
              <w:autoSpaceDE/>
              <w:autoSpaceDN/>
              <w:adjustRightInd/>
              <w:spacing w:after="120"/>
              <w:ind w:leftChars="1200"/>
              <w:textAlignment w:val="auto"/>
              <w:rPr>
                <w:rFonts w:eastAsiaTheme="minorEastAsia"/>
                <w:bCs/>
                <w:sz w:val="20"/>
                <w:szCs w:val="20"/>
                <w:vertAlign w:val="baseline"/>
                <w:lang w:eastAsia="ko-KR" w:bidi="ar"/>
              </w:rPr>
            </w:pPr>
            <w:r>
              <w:rPr>
                <w:sz w:val="20"/>
                <w:szCs w:val="21"/>
              </w:rPr>
              <w:t>P</w:t>
            </w:r>
            <w:r>
              <w:rPr>
                <w:sz w:val="20"/>
                <w:szCs w:val="21"/>
                <w:vertAlign w:val="subscript"/>
              </w:rPr>
              <w:t xml:space="preserve">sharing factor </w:t>
            </w:r>
            <w:r>
              <w:rPr>
                <w:sz w:val="20"/>
                <w:szCs w:val="21"/>
              </w:rPr>
              <w:t>= 3.</w:t>
            </w:r>
          </w:p>
        </w:tc>
      </w:tr>
    </w:tbl>
    <w:p w14:paraId="1FBEFB0E">
      <w:pPr>
        <w:pStyle w:val="150"/>
        <w:numPr>
          <w:ilvl w:val="0"/>
          <w:numId w:val="0"/>
        </w:numPr>
        <w:overflowPunct/>
        <w:autoSpaceDE/>
        <w:autoSpaceDN/>
        <w:adjustRightInd/>
        <w:spacing w:after="120"/>
        <w:textAlignment w:val="auto"/>
        <w:rPr>
          <w:rFonts w:eastAsiaTheme="minorEastAsia"/>
          <w:bCs/>
          <w:sz w:val="20"/>
          <w:szCs w:val="20"/>
          <w:lang w:eastAsia="ko-KR" w:bidi="ar"/>
        </w:rPr>
      </w:pPr>
    </w:p>
    <w:p w14:paraId="0C5B2233">
      <w:pPr>
        <w:pStyle w:val="150"/>
        <w:numPr>
          <w:ilvl w:val="1"/>
          <w:numId w:val="4"/>
        </w:numPr>
        <w:overflowPunct/>
        <w:autoSpaceDE/>
        <w:autoSpaceDN/>
        <w:adjustRightInd/>
        <w:spacing w:after="120"/>
        <w:ind w:left="1440" w:firstLineChars="0"/>
        <w:textAlignment w:val="auto"/>
        <w:rPr>
          <w:rFonts w:eastAsiaTheme="minorEastAsia"/>
          <w:bCs/>
          <w:sz w:val="20"/>
          <w:szCs w:val="20"/>
          <w:lang w:eastAsia="ko-KR" w:bidi="ar"/>
        </w:rPr>
      </w:pPr>
      <w:r>
        <w:rPr>
          <w:rFonts w:hint="eastAsia" w:eastAsiaTheme="minorEastAsia"/>
          <w:color w:val="0070C0"/>
          <w:sz w:val="20"/>
          <w:szCs w:val="20"/>
          <w:lang w:val="en-US" w:eastAsia="zh-CN"/>
        </w:rPr>
        <w:t>Proposal 1: (HW)</w:t>
      </w:r>
    </w:p>
    <w:p w14:paraId="13736271">
      <w:pPr>
        <w:pStyle w:val="150"/>
        <w:numPr>
          <w:ilvl w:val="2"/>
          <w:numId w:val="4"/>
        </w:numPr>
        <w:overflowPunct/>
        <w:autoSpaceDE/>
        <w:autoSpaceDN/>
        <w:adjustRightInd/>
        <w:spacing w:after="120"/>
        <w:ind w:left="1860" w:firstLineChars="0"/>
        <w:textAlignment w:val="auto"/>
        <w:rPr>
          <w:b w:val="0"/>
          <w:bCs/>
          <w:color w:val="0070C0"/>
          <w:sz w:val="20"/>
          <w:szCs w:val="20"/>
          <w:lang w:val="en-GB"/>
        </w:rPr>
      </w:pPr>
      <w:r>
        <w:rPr>
          <w:b w:val="0"/>
          <w:bCs/>
          <w:color w:val="0070C0"/>
          <w:sz w:val="20"/>
          <w:szCs w:val="20"/>
          <w:lang w:val="en-GB"/>
        </w:rPr>
        <w:t>K</w:t>
      </w:r>
      <w:r>
        <w:rPr>
          <w:b w:val="0"/>
          <w:bCs/>
          <w:color w:val="0070C0"/>
          <w:sz w:val="20"/>
          <w:szCs w:val="20"/>
          <w:vertAlign w:val="subscript"/>
          <w:lang w:val="en-GB"/>
        </w:rPr>
        <w:t>layer1_measurement</w:t>
      </w:r>
      <w:r>
        <w:rPr>
          <w:b w:val="0"/>
          <w:bCs/>
          <w:color w:val="0070C0"/>
          <w:sz w:val="20"/>
          <w:szCs w:val="20"/>
          <w:lang w:val="en-GB"/>
        </w:rPr>
        <w:t xml:space="preserve"> for ATG UE with common Rx beam in inter-band CA could be defined as:</w:t>
      </w:r>
    </w:p>
    <w:p w14:paraId="32F47F15">
      <w:pPr>
        <w:ind w:left="1703" w:leftChars="0" w:firstLine="284" w:firstLineChars="0"/>
        <w:rPr>
          <w:b w:val="0"/>
          <w:bCs/>
          <w:snapToGrid/>
          <w:color w:val="0070C0"/>
          <w:sz w:val="20"/>
          <w:szCs w:val="20"/>
        </w:rPr>
      </w:pPr>
      <w:r>
        <w:rPr>
          <w:b w:val="0"/>
          <w:bCs/>
          <w:color w:val="0070C0"/>
          <w:sz w:val="20"/>
          <w:szCs w:val="20"/>
          <w:lang w:eastAsia="en-GB"/>
        </w:rPr>
        <w:t>K</w:t>
      </w:r>
      <w:r>
        <w:rPr>
          <w:b w:val="0"/>
          <w:bCs/>
          <w:color w:val="0070C0"/>
          <w:sz w:val="20"/>
          <w:szCs w:val="20"/>
          <w:vertAlign w:val="subscript"/>
          <w:lang w:eastAsia="en-GB"/>
        </w:rPr>
        <w:t>layer1_measurement</w:t>
      </w:r>
      <w:r>
        <w:rPr>
          <w:b w:val="0"/>
          <w:bCs/>
          <w:color w:val="0070C0"/>
          <w:sz w:val="20"/>
          <w:szCs w:val="20"/>
          <w:lang w:eastAsia="en-GB"/>
        </w:rPr>
        <w:t xml:space="preserve">=1, </w:t>
      </w:r>
    </w:p>
    <w:p w14:paraId="7585FF82">
      <w:pPr>
        <w:ind w:left="1987" w:leftChars="0" w:firstLine="284" w:firstLineChars="0"/>
        <w:rPr>
          <w:b w:val="0"/>
          <w:bCs/>
          <w:color w:val="0070C0"/>
          <w:sz w:val="20"/>
          <w:szCs w:val="20"/>
        </w:rPr>
      </w:pPr>
      <w:r>
        <w:rPr>
          <w:b w:val="0"/>
          <w:bCs/>
          <w:color w:val="0070C0"/>
          <w:sz w:val="20"/>
          <w:szCs w:val="20"/>
          <w:lang w:eastAsia="en-GB"/>
        </w:rPr>
        <w:t>-</w:t>
      </w:r>
      <w:r>
        <w:rPr>
          <w:b w:val="0"/>
          <w:bCs/>
          <w:color w:val="0070C0"/>
          <w:sz w:val="20"/>
          <w:szCs w:val="20"/>
          <w:lang w:eastAsia="en-GB"/>
        </w:rPr>
        <w:tab/>
      </w:r>
      <w:r>
        <w:rPr>
          <w:b w:val="0"/>
          <w:bCs/>
          <w:color w:val="0070C0"/>
          <w:sz w:val="20"/>
          <w:szCs w:val="20"/>
          <w:lang w:eastAsia="en-GB"/>
        </w:rPr>
        <w:t xml:space="preserve">if all of the reference signals configured for RLM, BFD, CBD or L1-RSRP for beam reporting on any FR2 serving frequency in the same band outside measurement gap are not fully overlapped by intra-frequency SMTC occasions, or </w:t>
      </w:r>
    </w:p>
    <w:p w14:paraId="72FDC702">
      <w:pPr>
        <w:ind w:left="1987" w:leftChars="0" w:firstLine="284" w:firstLineChars="0"/>
        <w:rPr>
          <w:b w:val="0"/>
          <w:bCs/>
          <w:color w:val="0070C0"/>
          <w:sz w:val="20"/>
          <w:szCs w:val="20"/>
          <w:highlight w:val="none"/>
          <w:lang w:eastAsia="en-GB"/>
        </w:rPr>
      </w:pPr>
      <w:r>
        <w:rPr>
          <w:b w:val="0"/>
          <w:bCs/>
          <w:color w:val="0070C0"/>
          <w:sz w:val="20"/>
          <w:szCs w:val="20"/>
          <w:highlight w:val="none"/>
          <w:lang w:eastAsia="en-GB"/>
        </w:rPr>
        <w:t>-</w:t>
      </w:r>
      <w:r>
        <w:rPr>
          <w:b w:val="0"/>
          <w:bCs/>
          <w:color w:val="0070C0"/>
          <w:sz w:val="20"/>
          <w:szCs w:val="20"/>
          <w:highlight w:val="none"/>
          <w:lang w:eastAsia="en-GB"/>
        </w:rPr>
        <w:tab/>
      </w:r>
      <w:r>
        <w:rPr>
          <w:b w:val="0"/>
          <w:bCs/>
          <w:color w:val="0070C0"/>
          <w:sz w:val="20"/>
          <w:szCs w:val="20"/>
          <w:highlight w:val="none"/>
          <w:lang w:eastAsia="en-GB"/>
        </w:rPr>
        <w:t>if all of the reference signals configured for RLM, BFD, CBD or L1-RSRP for beam reporting</w:t>
      </w:r>
      <w:r>
        <w:rPr>
          <w:b w:val="0"/>
          <w:bCs/>
          <w:color w:val="0070C0"/>
          <w:sz w:val="20"/>
          <w:szCs w:val="20"/>
          <w:highlight w:val="yellow"/>
          <w:lang w:eastAsia="en-GB"/>
        </w:rPr>
        <w:t xml:space="preserve"> on serving frequency </w:t>
      </w:r>
      <w:r>
        <w:rPr>
          <w:b w:val="0"/>
          <w:bCs/>
          <w:color w:val="0070C0"/>
          <w:sz w:val="20"/>
          <w:szCs w:val="20"/>
          <w:highlight w:val="yellow"/>
        </w:rPr>
        <w:t>of</w:t>
      </w:r>
      <w:r>
        <w:rPr>
          <w:b w:val="0"/>
          <w:bCs/>
          <w:color w:val="0070C0"/>
          <w:sz w:val="20"/>
          <w:szCs w:val="20"/>
          <w:highlight w:val="yellow"/>
          <w:lang w:val="en-GB" w:eastAsia="en-GB"/>
        </w:rPr>
        <w:t xml:space="preserve"> PCC or SCC that [UE support the case 4 capability] </w:t>
      </w:r>
      <w:r>
        <w:rPr>
          <w:b w:val="0"/>
          <w:bCs/>
          <w:color w:val="0070C0"/>
          <w:sz w:val="20"/>
          <w:szCs w:val="20"/>
          <w:highlight w:val="none"/>
          <w:lang w:eastAsia="en-GB"/>
        </w:rPr>
        <w:t>outside measurement gap are not fully overlapped by intra-frequency SMTC occasions</w:t>
      </w:r>
      <w:r>
        <w:rPr>
          <w:b w:val="0"/>
          <w:bCs/>
          <w:color w:val="0070C0"/>
          <w:sz w:val="20"/>
          <w:szCs w:val="20"/>
          <w:highlight w:val="yellow"/>
          <w:lang w:eastAsia="en-GB"/>
        </w:rPr>
        <w:t xml:space="preserve"> of PCC or SCC</w:t>
      </w:r>
      <w:r>
        <w:rPr>
          <w:b w:val="0"/>
          <w:bCs/>
          <w:color w:val="0070C0"/>
          <w:sz w:val="20"/>
          <w:szCs w:val="20"/>
          <w:highlight w:val="none"/>
          <w:lang w:eastAsia="en-GB"/>
        </w:rPr>
        <w:t xml:space="preserve">, or </w:t>
      </w:r>
    </w:p>
    <w:p w14:paraId="5EAD2128">
      <w:pPr>
        <w:ind w:left="1987" w:leftChars="0" w:firstLine="284" w:firstLineChars="0"/>
        <w:rPr>
          <w:rFonts w:eastAsia="等线"/>
          <w:b w:val="0"/>
          <w:bCs/>
          <w:snapToGrid/>
          <w:color w:val="0070C0"/>
          <w:sz w:val="20"/>
          <w:szCs w:val="20"/>
          <w:highlight w:val="none"/>
        </w:rPr>
      </w:pPr>
      <w:r>
        <w:rPr>
          <w:b w:val="0"/>
          <w:bCs/>
          <w:color w:val="0070C0"/>
          <w:sz w:val="20"/>
          <w:szCs w:val="20"/>
          <w:highlight w:val="none"/>
          <w:lang w:eastAsia="en-GB"/>
        </w:rPr>
        <w:t>-</w:t>
      </w:r>
      <w:r>
        <w:rPr>
          <w:b w:val="0"/>
          <w:bCs/>
          <w:color w:val="0070C0"/>
          <w:sz w:val="20"/>
          <w:szCs w:val="20"/>
          <w:highlight w:val="none"/>
          <w:lang w:eastAsia="en-GB"/>
        </w:rPr>
        <w:tab/>
      </w:r>
      <w:r>
        <w:rPr>
          <w:b w:val="0"/>
          <w:bCs/>
          <w:color w:val="0070C0"/>
          <w:sz w:val="20"/>
          <w:szCs w:val="20"/>
          <w:highlight w:val="none"/>
          <w:lang w:eastAsia="en-GB"/>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b w:val="0"/>
          <w:bCs/>
          <w:i/>
          <w:color w:val="0070C0"/>
          <w:sz w:val="20"/>
          <w:szCs w:val="20"/>
          <w:highlight w:val="none"/>
          <w:lang w:eastAsia="en-GB"/>
        </w:rPr>
        <w:t xml:space="preserve">SSB-ToMeasure </w:t>
      </w:r>
      <w:r>
        <w:rPr>
          <w:b w:val="0"/>
          <w:bCs/>
          <w:color w:val="0070C0"/>
          <w:sz w:val="20"/>
          <w:szCs w:val="20"/>
          <w:highlight w:val="none"/>
          <w:lang w:eastAsia="en-GB"/>
        </w:rPr>
        <w:t>and</w:t>
      </w:r>
      <w:r>
        <w:rPr>
          <w:b w:val="0"/>
          <w:bCs/>
          <w:i/>
          <w:color w:val="0070C0"/>
          <w:sz w:val="20"/>
          <w:szCs w:val="20"/>
          <w:highlight w:val="none"/>
          <w:lang w:eastAsia="en-GB"/>
        </w:rPr>
        <w:t xml:space="preserve"> SS-RSSI-Measurement </w:t>
      </w:r>
      <w:r>
        <w:rPr>
          <w:b w:val="0"/>
          <w:bCs/>
          <w:color w:val="0070C0"/>
          <w:sz w:val="20"/>
          <w:szCs w:val="20"/>
          <w:highlight w:val="none"/>
          <w:lang w:eastAsia="en-GB"/>
        </w:rPr>
        <w:t>are configured, where SSB symbols are indicated by the union set of </w:t>
      </w:r>
      <w:r>
        <w:rPr>
          <w:b w:val="0"/>
          <w:bCs/>
          <w:i/>
          <w:iCs/>
          <w:color w:val="0070C0"/>
          <w:sz w:val="20"/>
          <w:szCs w:val="20"/>
          <w:highlight w:val="none"/>
          <w:lang w:eastAsia="en-GB"/>
        </w:rPr>
        <w:t>SSB-ToMeasure</w:t>
      </w:r>
      <w:r>
        <w:rPr>
          <w:b w:val="0"/>
          <w:bCs/>
          <w:color w:val="0070C0"/>
          <w:sz w:val="20"/>
          <w:szCs w:val="20"/>
          <w:highlight w:val="none"/>
          <w:lang w:eastAsia="en-GB"/>
        </w:rPr>
        <w:t> from all the configured measurement objects on the same serving carrier which can be merged.</w:t>
      </w:r>
      <w:r>
        <w:rPr>
          <w:b w:val="0"/>
          <w:bCs/>
          <w:i/>
          <w:color w:val="0070C0"/>
          <w:sz w:val="20"/>
          <w:szCs w:val="20"/>
          <w:highlight w:val="none"/>
          <w:lang w:eastAsia="en-GB"/>
        </w:rPr>
        <w:t xml:space="preserve"> </w:t>
      </w:r>
      <w:r>
        <w:rPr>
          <w:b w:val="0"/>
          <w:bCs/>
          <w:color w:val="0070C0"/>
          <w:sz w:val="20"/>
          <w:szCs w:val="20"/>
          <w:highlight w:val="none"/>
          <w:lang w:eastAsia="en-GB"/>
        </w:rPr>
        <w:t xml:space="preserve">and RSSI symbols are indicated by </w:t>
      </w:r>
      <w:r>
        <w:rPr>
          <w:b w:val="0"/>
          <w:bCs/>
          <w:i/>
          <w:color w:val="0070C0"/>
          <w:sz w:val="20"/>
          <w:szCs w:val="20"/>
          <w:highlight w:val="none"/>
          <w:lang w:eastAsia="en-GB"/>
        </w:rPr>
        <w:t>SS-RSSI-Measurement</w:t>
      </w:r>
      <w:r>
        <w:rPr>
          <w:b w:val="0"/>
          <w:bCs/>
          <w:color w:val="0070C0"/>
          <w:sz w:val="20"/>
          <w:szCs w:val="20"/>
          <w:highlight w:val="none"/>
          <w:lang w:eastAsia="en-GB"/>
        </w:rPr>
        <w:t>;</w:t>
      </w:r>
    </w:p>
    <w:p w14:paraId="053AB9A6">
      <w:pPr>
        <w:ind w:left="1987" w:leftChars="0" w:firstLine="284" w:firstLineChars="0"/>
        <w:rPr>
          <w:rFonts w:eastAsia="等线"/>
          <w:b w:val="0"/>
          <w:bCs/>
          <w:color w:val="0070C0"/>
          <w:sz w:val="20"/>
          <w:szCs w:val="20"/>
          <w:lang w:val="en-GB"/>
        </w:rPr>
      </w:pPr>
      <w:r>
        <w:rPr>
          <w:b w:val="0"/>
          <w:bCs/>
          <w:color w:val="0070C0"/>
          <w:sz w:val="20"/>
          <w:szCs w:val="20"/>
          <w:highlight w:val="none"/>
          <w:lang w:eastAsia="en-GB"/>
        </w:rPr>
        <w:t>-</w:t>
      </w:r>
      <w:r>
        <w:rPr>
          <w:b w:val="0"/>
          <w:bCs/>
          <w:color w:val="0070C0"/>
          <w:sz w:val="20"/>
          <w:szCs w:val="20"/>
          <w:highlight w:val="none"/>
          <w:lang w:eastAsia="en-GB"/>
        </w:rPr>
        <w:tab/>
      </w:r>
      <w:r>
        <w:rPr>
          <w:b w:val="0"/>
          <w:bCs/>
          <w:color w:val="0070C0"/>
          <w:sz w:val="20"/>
          <w:szCs w:val="20"/>
          <w:highlight w:val="none"/>
          <w:lang w:eastAsia="en-GB"/>
        </w:rPr>
        <w:t>if all of the reference signal configured for RLM, BFD, CBD or L1-RSRP for beam reporting</w:t>
      </w:r>
      <w:r>
        <w:rPr>
          <w:b w:val="0"/>
          <w:bCs/>
          <w:color w:val="0070C0"/>
          <w:sz w:val="20"/>
          <w:szCs w:val="20"/>
          <w:highlight w:val="yellow"/>
          <w:lang w:eastAsia="en-GB"/>
        </w:rPr>
        <w:t xml:space="preserve"> on serving frequency </w:t>
      </w:r>
      <w:r>
        <w:rPr>
          <w:b w:val="0"/>
          <w:bCs/>
          <w:color w:val="0070C0"/>
          <w:sz w:val="20"/>
          <w:szCs w:val="20"/>
          <w:highlight w:val="yellow"/>
        </w:rPr>
        <w:t>of</w:t>
      </w:r>
      <w:r>
        <w:rPr>
          <w:b w:val="0"/>
          <w:bCs/>
          <w:color w:val="0070C0"/>
          <w:sz w:val="20"/>
          <w:szCs w:val="20"/>
          <w:highlight w:val="yellow"/>
          <w:lang w:val="en-GB" w:eastAsia="en-GB"/>
        </w:rPr>
        <w:t xml:space="preserve"> PCC or SCC that [UE support the case 4 capability] </w:t>
      </w:r>
      <w:r>
        <w:rPr>
          <w:b w:val="0"/>
          <w:bCs/>
          <w:color w:val="0070C0"/>
          <w:sz w:val="20"/>
          <w:szCs w:val="20"/>
          <w:highlight w:val="none"/>
          <w:lang w:eastAsia="en-GB"/>
        </w:rPr>
        <w:t>outside measurement gap and fully-overlapped by intra-frequency SMTC occasions</w:t>
      </w:r>
      <w:r>
        <w:rPr>
          <w:b w:val="0"/>
          <w:bCs/>
          <w:color w:val="0070C0"/>
          <w:sz w:val="20"/>
          <w:szCs w:val="20"/>
          <w:highlight w:val="yellow"/>
          <w:lang w:eastAsia="en-GB"/>
        </w:rPr>
        <w:t xml:space="preserve"> of PCC or SCC</w:t>
      </w:r>
      <w:r>
        <w:rPr>
          <w:b w:val="0"/>
          <w:bCs/>
          <w:color w:val="0070C0"/>
          <w:sz w:val="20"/>
          <w:szCs w:val="20"/>
          <w:highlight w:val="none"/>
          <w:lang w:eastAsia="en-GB"/>
        </w:rPr>
        <w:t xml:space="preserve"> are not overlapped with a</w:t>
      </w:r>
      <w:r>
        <w:rPr>
          <w:b w:val="0"/>
          <w:bCs/>
          <w:color w:val="0070C0"/>
          <w:sz w:val="20"/>
          <w:szCs w:val="20"/>
          <w:lang w:eastAsia="en-GB"/>
        </w:rPr>
        <w:t xml:space="preserve">ny of the SSB symbols and the RSSI symbols, and 1 symbol before each consecutive SSB symbols and the RSSI symbols, and 1 symbol after each consecutive SSB symbols and the RSSI symbols, given that </w:t>
      </w:r>
      <w:r>
        <w:rPr>
          <w:b w:val="0"/>
          <w:bCs/>
          <w:i/>
          <w:color w:val="0070C0"/>
          <w:sz w:val="20"/>
          <w:szCs w:val="20"/>
          <w:lang w:eastAsia="en-GB"/>
        </w:rPr>
        <w:t xml:space="preserve">SSB-ToMeasure </w:t>
      </w:r>
      <w:r>
        <w:rPr>
          <w:b w:val="0"/>
          <w:bCs/>
          <w:color w:val="0070C0"/>
          <w:sz w:val="20"/>
          <w:szCs w:val="20"/>
          <w:lang w:eastAsia="en-GB"/>
        </w:rPr>
        <w:t>and</w:t>
      </w:r>
      <w:r>
        <w:rPr>
          <w:b w:val="0"/>
          <w:bCs/>
          <w:i/>
          <w:color w:val="0070C0"/>
          <w:sz w:val="20"/>
          <w:szCs w:val="20"/>
          <w:lang w:eastAsia="en-GB"/>
        </w:rPr>
        <w:t xml:space="preserve"> SS-RSSI-Measurement </w:t>
      </w:r>
      <w:r>
        <w:rPr>
          <w:b w:val="0"/>
          <w:bCs/>
          <w:color w:val="0070C0"/>
          <w:sz w:val="20"/>
          <w:szCs w:val="20"/>
          <w:lang w:eastAsia="en-GB"/>
        </w:rPr>
        <w:t>are configured, where SSB symbols are indicated by the union set of </w:t>
      </w:r>
      <w:r>
        <w:rPr>
          <w:b w:val="0"/>
          <w:bCs/>
          <w:i/>
          <w:iCs/>
          <w:color w:val="0070C0"/>
          <w:sz w:val="20"/>
          <w:szCs w:val="20"/>
          <w:lang w:eastAsia="en-GB"/>
        </w:rPr>
        <w:t>SSB-ToMeasure</w:t>
      </w:r>
      <w:r>
        <w:rPr>
          <w:b w:val="0"/>
          <w:bCs/>
          <w:color w:val="0070C0"/>
          <w:sz w:val="20"/>
          <w:szCs w:val="20"/>
          <w:lang w:eastAsia="en-GB"/>
        </w:rPr>
        <w:t> from all the configured measurement objects on the same serving carrier which can be merged.</w:t>
      </w:r>
      <w:r>
        <w:rPr>
          <w:b w:val="0"/>
          <w:bCs/>
          <w:i/>
          <w:color w:val="0070C0"/>
          <w:sz w:val="20"/>
          <w:szCs w:val="20"/>
          <w:lang w:eastAsia="en-GB"/>
        </w:rPr>
        <w:t xml:space="preserve"> </w:t>
      </w:r>
      <w:r>
        <w:rPr>
          <w:b w:val="0"/>
          <w:bCs/>
          <w:color w:val="0070C0"/>
          <w:sz w:val="20"/>
          <w:szCs w:val="20"/>
          <w:lang w:eastAsia="en-GB"/>
        </w:rPr>
        <w:t xml:space="preserve">and RSSI symbols are indicated by </w:t>
      </w:r>
      <w:r>
        <w:rPr>
          <w:b w:val="0"/>
          <w:bCs/>
          <w:i/>
          <w:color w:val="0070C0"/>
          <w:sz w:val="20"/>
          <w:szCs w:val="20"/>
          <w:lang w:eastAsia="en-GB"/>
        </w:rPr>
        <w:t>SS-RSSI-Measurement</w:t>
      </w:r>
      <w:r>
        <w:rPr>
          <w:b w:val="0"/>
          <w:bCs/>
          <w:color w:val="0070C0"/>
          <w:sz w:val="20"/>
          <w:szCs w:val="20"/>
          <w:lang w:eastAsia="en-GB"/>
        </w:rPr>
        <w:t>;</w:t>
      </w:r>
    </w:p>
    <w:p w14:paraId="6CE4C2C5">
      <w:pPr>
        <w:ind w:left="1987" w:leftChars="0" w:firstLine="284" w:firstLineChars="0"/>
        <w:rPr>
          <w:b w:val="0"/>
          <w:bCs/>
          <w:color w:val="0070C0"/>
          <w:sz w:val="20"/>
          <w:szCs w:val="20"/>
          <w:lang w:eastAsia="en-GB"/>
        </w:rPr>
      </w:pPr>
      <w:r>
        <w:rPr>
          <w:b w:val="0"/>
          <w:bCs/>
          <w:color w:val="0070C0"/>
          <w:sz w:val="20"/>
          <w:szCs w:val="20"/>
          <w:lang w:eastAsia="en-GB"/>
        </w:rPr>
        <w:t>K</w:t>
      </w:r>
      <w:r>
        <w:rPr>
          <w:b w:val="0"/>
          <w:bCs/>
          <w:color w:val="0070C0"/>
          <w:sz w:val="20"/>
          <w:szCs w:val="20"/>
          <w:vertAlign w:val="subscript"/>
          <w:lang w:eastAsia="en-GB"/>
        </w:rPr>
        <w:t>layer1_measurement</w:t>
      </w:r>
      <w:r>
        <w:rPr>
          <w:b w:val="0"/>
          <w:bCs/>
          <w:color w:val="0070C0"/>
          <w:sz w:val="20"/>
          <w:szCs w:val="20"/>
          <w:lang w:eastAsia="en-GB"/>
        </w:rPr>
        <w:t>=1.5, otherwise.</w:t>
      </w:r>
    </w:p>
    <w:p w14:paraId="1D2C81D4">
      <w:pPr>
        <w:pStyle w:val="150"/>
        <w:numPr>
          <w:ilvl w:val="1"/>
          <w:numId w:val="4"/>
        </w:numPr>
        <w:overflowPunct/>
        <w:autoSpaceDE/>
        <w:autoSpaceDN/>
        <w:adjustRightInd/>
        <w:spacing w:after="120"/>
        <w:ind w:left="1440" w:firstLineChars="0"/>
        <w:textAlignment w:val="auto"/>
        <w:rPr>
          <w:rFonts w:hint="eastAsia" w:eastAsiaTheme="minorEastAsia"/>
          <w:color w:val="0070C0"/>
          <w:sz w:val="20"/>
          <w:szCs w:val="20"/>
          <w:lang w:val="en-US" w:eastAsia="zh-CN"/>
        </w:rPr>
      </w:pPr>
      <w:r>
        <w:rPr>
          <w:rFonts w:hint="eastAsia" w:eastAsiaTheme="minorEastAsia"/>
          <w:color w:val="0070C0"/>
          <w:sz w:val="20"/>
          <w:szCs w:val="20"/>
          <w:lang w:val="en-US" w:eastAsia="zh-CN"/>
        </w:rPr>
        <w:t>Proposal 2: (ZTE)</w:t>
      </w:r>
    </w:p>
    <w:p w14:paraId="2406176E">
      <w:pPr>
        <w:pStyle w:val="150"/>
        <w:numPr>
          <w:ilvl w:val="2"/>
          <w:numId w:val="4"/>
        </w:numPr>
        <w:overflowPunct/>
        <w:autoSpaceDE/>
        <w:autoSpaceDN/>
        <w:adjustRightInd/>
        <w:spacing w:after="120"/>
        <w:ind w:left="1860" w:firstLineChars="0"/>
        <w:textAlignment w:val="auto"/>
        <w:rPr>
          <w:i w:val="0"/>
          <w:iCs w:val="0"/>
          <w:color w:val="0070C0"/>
          <w:lang w:eastAsia="zh-CN"/>
        </w:rPr>
      </w:pPr>
      <w:r>
        <w:rPr>
          <w:i w:val="0"/>
          <w:iCs w:val="0"/>
          <w:color w:val="0070C0"/>
          <w:lang w:eastAsia="zh-CN"/>
        </w:rPr>
        <w:t xml:space="preserve">For UE </w:t>
      </w:r>
      <w:r>
        <w:rPr>
          <w:rFonts w:hint="eastAsia"/>
          <w:i w:val="0"/>
          <w:iCs w:val="0"/>
          <w:color w:val="0070C0"/>
          <w:lang w:val="en-US" w:eastAsia="zh-CN"/>
        </w:rPr>
        <w:t>capable of [</w:t>
      </w:r>
      <w:r>
        <w:rPr>
          <w:i w:val="0"/>
          <w:iCs w:val="0"/>
          <w:color w:val="0070C0"/>
        </w:rPr>
        <w:t>antennaArrayType-r1</w:t>
      </w:r>
      <w:r>
        <w:rPr>
          <w:rFonts w:hint="eastAsia" w:eastAsia="宋体"/>
          <w:i w:val="0"/>
          <w:iCs w:val="0"/>
          <w:color w:val="0070C0"/>
          <w:lang w:val="en-US" w:eastAsia="zh-CN"/>
        </w:rPr>
        <w:t xml:space="preserve">8] </w:t>
      </w:r>
      <w:r>
        <w:rPr>
          <w:rFonts w:hint="eastAsia" w:eastAsia="宋体"/>
          <w:i w:val="0"/>
          <w:iCs w:val="0"/>
          <w:color w:val="0070C0"/>
          <w:highlight w:val="yellow"/>
          <w:u w:val="none"/>
          <w:lang w:val="en-US" w:eastAsia="zh-CN"/>
        </w:rPr>
        <w:t>and [</w:t>
      </w:r>
      <w:r>
        <w:rPr>
          <w:i w:val="0"/>
          <w:iCs w:val="0"/>
          <w:color w:val="0070C0"/>
          <w:highlight w:val="yellow"/>
          <w:u w:val="none"/>
        </w:rPr>
        <w:t>intra-band</w:t>
      </w:r>
      <w:r>
        <w:rPr>
          <w:rFonts w:hint="eastAsia" w:eastAsia="宋体"/>
          <w:i w:val="0"/>
          <w:iCs w:val="0"/>
          <w:color w:val="0070C0"/>
          <w:highlight w:val="yellow"/>
          <w:u w:val="none"/>
          <w:lang w:val="en-US" w:eastAsia="zh-CN"/>
        </w:rPr>
        <w:t xml:space="preserve"> or inter-band</w:t>
      </w:r>
      <w:r>
        <w:rPr>
          <w:i w:val="0"/>
          <w:iCs w:val="0"/>
          <w:color w:val="0070C0"/>
          <w:highlight w:val="yellow"/>
          <w:u w:val="none"/>
        </w:rPr>
        <w:t xml:space="preserve"> carrier aggregation is </w:t>
      </w:r>
      <w:r>
        <w:rPr>
          <w:rFonts w:hint="eastAsia" w:eastAsia="宋体"/>
          <w:i w:val="0"/>
          <w:iCs w:val="0"/>
          <w:color w:val="0070C0"/>
          <w:highlight w:val="yellow"/>
          <w:u w:val="none"/>
          <w:lang w:val="en-US" w:eastAsia="zh-CN"/>
        </w:rPr>
        <w:t>configured]</w:t>
      </w:r>
      <w:r>
        <w:rPr>
          <w:i w:val="0"/>
          <w:iCs w:val="0"/>
          <w:color w:val="0070C0"/>
          <w:lang w:eastAsia="zh-CN"/>
        </w:rPr>
        <w:t>,</w:t>
      </w:r>
    </w:p>
    <w:p w14:paraId="3E0C7D46">
      <w:pPr>
        <w:ind w:left="1703" w:leftChars="0" w:firstLine="284" w:firstLineChars="0"/>
        <w:rPr>
          <w:i w:val="0"/>
          <w:iCs w:val="0"/>
          <w:color w:val="0070C0"/>
          <w:lang w:eastAsia="zh-CN"/>
        </w:rPr>
      </w:pPr>
      <w:r>
        <w:rPr>
          <w:i w:val="0"/>
          <w:iCs w:val="0"/>
          <w:color w:val="0070C0"/>
        </w:rPr>
        <w:t>K</w:t>
      </w:r>
      <w:r>
        <w:rPr>
          <w:i w:val="0"/>
          <w:iCs w:val="0"/>
          <w:color w:val="0070C0"/>
          <w:vertAlign w:val="subscript"/>
        </w:rPr>
        <w:t>layer1_measurement</w:t>
      </w:r>
      <w:r>
        <w:rPr>
          <w:i w:val="0"/>
          <w:iCs w:val="0"/>
          <w:color w:val="0070C0"/>
        </w:rPr>
        <w:t xml:space="preserve">=1, </w:t>
      </w:r>
    </w:p>
    <w:p w14:paraId="6836B55C">
      <w:pPr>
        <w:ind w:left="1987" w:leftChars="0" w:firstLine="284" w:firstLineChars="0"/>
        <w:rPr>
          <w:i w:val="0"/>
          <w:iCs w:val="0"/>
          <w:color w:val="0070C0"/>
        </w:rPr>
      </w:pPr>
      <w:r>
        <w:rPr>
          <w:i w:val="0"/>
          <w:iCs w:val="0"/>
          <w:color w:val="0070C0"/>
        </w:rPr>
        <w:t>-</w:t>
      </w:r>
      <w:r>
        <w:rPr>
          <w:i w:val="0"/>
          <w:iCs w:val="0"/>
          <w:color w:val="0070C0"/>
        </w:rPr>
        <w:tab/>
      </w:r>
      <w:r>
        <w:rPr>
          <w:i w:val="0"/>
          <w:iCs w:val="0"/>
          <w:color w:val="0070C0"/>
        </w:rPr>
        <w:t xml:space="preserve">if all of the reference signals configured for RLM, BFD, CBD or L1-RSRP for beam reporting outside measurement gap are not fully overlapped by intra-frequency SMTC occasions, or </w:t>
      </w:r>
    </w:p>
    <w:p w14:paraId="2FE1C0C2">
      <w:pPr>
        <w:ind w:left="1987" w:leftChars="0" w:firstLine="284" w:firstLineChars="0"/>
        <w:rPr>
          <w:i w:val="0"/>
          <w:iCs w:val="0"/>
          <w:color w:val="0070C0"/>
        </w:rPr>
      </w:pPr>
      <w:r>
        <w:rPr>
          <w:i w:val="0"/>
          <w:iCs w:val="0"/>
          <w:color w:val="0070C0"/>
        </w:rPr>
        <w:t>-</w:t>
      </w:r>
      <w:r>
        <w:rPr>
          <w:i w:val="0"/>
          <w:iCs w:val="0"/>
          <w:color w:val="0070C0"/>
        </w:rPr>
        <w:tab/>
      </w:r>
      <w:r>
        <w:rPr>
          <w:i w:val="0"/>
          <w:iCs w:val="0"/>
          <w:color w:val="0070C0"/>
        </w:rPr>
        <w:t xml:space="preserve">if all of the reference signal configured for RLM, BFD, CBD or L1-RSRP for beam reporting </w:t>
      </w:r>
      <w:r>
        <w:rPr>
          <w:rFonts w:hint="eastAsia"/>
          <w:i w:val="0"/>
          <w:iCs w:val="0"/>
          <w:color w:val="0070C0"/>
          <w:highlight w:val="yellow"/>
          <w:lang w:val="en-US" w:eastAsia="zh-CN"/>
        </w:rPr>
        <w:t xml:space="preserve">on any serving frequency in the same band </w:t>
      </w:r>
      <w:r>
        <w:rPr>
          <w:i w:val="0"/>
          <w:iCs w:val="0"/>
          <w:color w:val="0070C0"/>
        </w:rPr>
        <w:t xml:space="preserve">outside measurement gap and fully-overlapped by intra-frequency SMTC occasions are not overlapped with any of the SSB symbols and the RSSI symbols, and </w:t>
      </w:r>
      <w:r>
        <w:rPr>
          <w:i w:val="0"/>
          <w:iCs w:val="0"/>
          <w:color w:val="0070C0"/>
          <w:highlight w:val="yellow"/>
        </w:rPr>
        <w:t>1</w:t>
      </w:r>
      <w:r>
        <w:rPr>
          <w:i w:val="0"/>
          <w:iCs w:val="0"/>
          <w:color w:val="0070C0"/>
        </w:rPr>
        <w:t xml:space="preserve"> symbol before each consecutive SSB symbols and the RSSI symbols, and </w:t>
      </w:r>
      <w:r>
        <w:rPr>
          <w:i w:val="0"/>
          <w:iCs w:val="0"/>
          <w:color w:val="0070C0"/>
          <w:highlight w:val="yellow"/>
        </w:rPr>
        <w:t>1</w:t>
      </w:r>
      <w:r>
        <w:rPr>
          <w:i w:val="0"/>
          <w:iCs w:val="0"/>
          <w:color w:val="0070C0"/>
        </w:rPr>
        <w:t xml:space="preserve">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w:t>
      </w:r>
      <w:r>
        <w:rPr>
          <w:rFonts w:hint="eastAsia"/>
          <w:i w:val="0"/>
          <w:iCs w:val="0"/>
          <w:color w:val="0070C0"/>
          <w:lang w:val="en-US" w:eastAsia="zh-CN"/>
        </w:rPr>
        <w:t>, or</w:t>
      </w:r>
      <w:r>
        <w:rPr>
          <w:i w:val="0"/>
          <w:iCs w:val="0"/>
          <w:color w:val="0070C0"/>
        </w:rPr>
        <w:t>;</w:t>
      </w:r>
    </w:p>
    <w:p w14:paraId="1C3F63ED">
      <w:pPr>
        <w:ind w:left="1987" w:leftChars="0" w:firstLine="284" w:firstLineChars="0"/>
        <w:rPr>
          <w:i w:val="0"/>
          <w:iCs w:val="0"/>
          <w:color w:val="0070C0"/>
        </w:rPr>
      </w:pPr>
      <w:r>
        <w:rPr>
          <w:i w:val="0"/>
          <w:iCs w:val="0"/>
          <w:color w:val="0070C0"/>
        </w:rPr>
        <w:t>-</w:t>
      </w:r>
      <w:r>
        <w:rPr>
          <w:i w:val="0"/>
          <w:iCs w:val="0"/>
          <w:color w:val="0070C0"/>
        </w:rPr>
        <w:tab/>
      </w:r>
      <w:r>
        <w:rPr>
          <w:i w:val="0"/>
          <w:iCs w:val="0"/>
          <w:color w:val="0070C0"/>
        </w:rPr>
        <w:t xml:space="preserve">if all of the reference signal configured for RLM, BFD, CBD or L1-RSRP for beam reporting </w:t>
      </w:r>
      <w:r>
        <w:rPr>
          <w:rFonts w:hint="eastAsia"/>
          <w:i w:val="0"/>
          <w:iCs w:val="0"/>
          <w:color w:val="0070C0"/>
          <w:highlight w:val="yellow"/>
          <w:lang w:val="en-US" w:eastAsia="zh-CN"/>
        </w:rPr>
        <w:t xml:space="preserve">on any serving frequency in different band </w:t>
      </w:r>
      <w:r>
        <w:rPr>
          <w:i w:val="0"/>
          <w:iCs w:val="0"/>
          <w:color w:val="0070C0"/>
        </w:rPr>
        <w:t xml:space="preserve">outside measurement gap and fully-overlapped by intra-frequency SMTC occasions are not overlapped with any of the SSB symbols and the RSSI symbols, and </w:t>
      </w:r>
      <w:r>
        <w:rPr>
          <w:rFonts w:hint="eastAsia"/>
          <w:i w:val="0"/>
          <w:iCs w:val="0"/>
          <w:color w:val="0070C0"/>
          <w:highlight w:val="yellow"/>
          <w:lang w:val="en-US" w:eastAsia="zh-CN"/>
        </w:rPr>
        <w:t>2</w:t>
      </w:r>
      <w:r>
        <w:rPr>
          <w:i w:val="0"/>
          <w:iCs w:val="0"/>
          <w:color w:val="0070C0"/>
        </w:rPr>
        <w:t xml:space="preserve"> symbol</w:t>
      </w:r>
      <w:r>
        <w:rPr>
          <w:rFonts w:hint="eastAsia"/>
          <w:i w:val="0"/>
          <w:iCs w:val="0"/>
          <w:color w:val="0070C0"/>
          <w:highlight w:val="yellow"/>
          <w:lang w:val="en-US" w:eastAsia="zh-CN"/>
        </w:rPr>
        <w:t>s</w:t>
      </w:r>
      <w:r>
        <w:rPr>
          <w:i w:val="0"/>
          <w:iCs w:val="0"/>
          <w:color w:val="0070C0"/>
        </w:rPr>
        <w:t xml:space="preserve"> before each consecutive SSB symbols and the RSSI symbols, and </w:t>
      </w:r>
      <w:r>
        <w:rPr>
          <w:rFonts w:hint="eastAsia"/>
          <w:i w:val="0"/>
          <w:iCs w:val="0"/>
          <w:color w:val="0070C0"/>
          <w:highlight w:val="yellow"/>
          <w:lang w:val="en-US" w:eastAsia="zh-CN"/>
        </w:rPr>
        <w:t>2</w:t>
      </w:r>
      <w:r>
        <w:rPr>
          <w:i w:val="0"/>
          <w:iCs w:val="0"/>
          <w:color w:val="0070C0"/>
        </w:rPr>
        <w:t xml:space="preserve"> symbol</w:t>
      </w:r>
      <w:r>
        <w:rPr>
          <w:rFonts w:hint="eastAsia"/>
          <w:i w:val="0"/>
          <w:iCs w:val="0"/>
          <w:color w:val="0070C0"/>
          <w:highlight w:val="yellow"/>
          <w:lang w:val="en-US" w:eastAsia="zh-CN"/>
        </w:rPr>
        <w:t>s</w:t>
      </w:r>
      <w:r>
        <w:rPr>
          <w:i w:val="0"/>
          <w:iCs w:val="0"/>
          <w:color w:val="0070C0"/>
        </w:rPr>
        <w:t xml:space="preserve"> after each consecutive SSB symbols and the RSSI symbols, given that SSB-ToMeasure and SS-RSSI-Measurement are configured</w:t>
      </w:r>
      <w:r>
        <w:rPr>
          <w:rFonts w:hint="eastAsia"/>
          <w:i w:val="0"/>
          <w:iCs w:val="0"/>
          <w:color w:val="0070C0"/>
          <w:lang w:val="en-US" w:eastAsia="zh-CN"/>
        </w:rPr>
        <w:t xml:space="preserve"> </w:t>
      </w:r>
      <w:r>
        <w:rPr>
          <w:rFonts w:hint="eastAsia"/>
          <w:i w:val="0"/>
          <w:iCs w:val="0"/>
          <w:color w:val="0070C0"/>
          <w:highlight w:val="yellow"/>
          <w:lang w:val="en-US" w:eastAsia="zh-CN"/>
        </w:rPr>
        <w:t>and the UE is capable of [common Rx beam between PCC band and SCC band]</w:t>
      </w:r>
      <w:r>
        <w:rPr>
          <w:i w:val="0"/>
          <w:iCs w:val="0"/>
          <w:color w:val="0070C0"/>
        </w:rPr>
        <w:t>, where SSB symbols are indicated by the union set of SSB-ToMeasure from all the configured measurement objects on the same serving carrier which can be merged. and RSSI symbols are indicated by SS-RSSI-Measurement</w:t>
      </w:r>
      <w:r>
        <w:rPr>
          <w:rFonts w:hint="eastAsia"/>
          <w:i w:val="0"/>
          <w:iCs w:val="0"/>
          <w:color w:val="0070C0"/>
          <w:lang w:val="en-US" w:eastAsia="zh-CN"/>
        </w:rPr>
        <w:t>, or</w:t>
      </w:r>
      <w:r>
        <w:rPr>
          <w:i w:val="0"/>
          <w:iCs w:val="0"/>
          <w:color w:val="0070C0"/>
        </w:rPr>
        <w:t>;</w:t>
      </w:r>
    </w:p>
    <w:p w14:paraId="671314D3">
      <w:pPr>
        <w:ind w:left="1987" w:leftChars="0" w:firstLine="284" w:firstLineChars="0"/>
        <w:rPr>
          <w:rFonts w:hint="default"/>
          <w:i w:val="0"/>
          <w:iCs w:val="0"/>
          <w:color w:val="0070C0"/>
          <w:lang w:val="en-US" w:eastAsia="zh-CN"/>
        </w:rPr>
      </w:pPr>
      <w:r>
        <w:rPr>
          <w:i w:val="0"/>
          <w:iCs w:val="0"/>
          <w:color w:val="0070C0"/>
          <w:lang w:val="en-US" w:eastAsia="zh-CN"/>
        </w:rPr>
        <w:t xml:space="preserve">- if </w:t>
      </w:r>
      <w:r>
        <w:rPr>
          <w:rFonts w:hint="eastAsia"/>
          <w:i w:val="0"/>
          <w:iCs w:val="0"/>
          <w:color w:val="0070C0"/>
          <w:lang w:val="en-US" w:eastAsia="zh-CN"/>
        </w:rPr>
        <w:t xml:space="preserve">all of the reference signals configured for RLM, BFD, CBD or L1-RSRP for beam reporting </w:t>
      </w:r>
      <w:r>
        <w:rPr>
          <w:rFonts w:hint="eastAsia"/>
          <w:i w:val="0"/>
          <w:iCs w:val="0"/>
          <w:color w:val="0070C0"/>
          <w:highlight w:val="yellow"/>
          <w:lang w:val="en-US" w:eastAsia="zh-CN"/>
        </w:rPr>
        <w:t xml:space="preserve">are on any serving frequency in different band </w:t>
      </w:r>
      <w:r>
        <w:rPr>
          <w:rFonts w:hint="eastAsia"/>
          <w:i w:val="0"/>
          <w:iCs w:val="0"/>
          <w:color w:val="0070C0"/>
          <w:lang w:val="en-US" w:eastAsia="zh-CN"/>
        </w:rPr>
        <w:t xml:space="preserve">outside measurement gap </w:t>
      </w:r>
      <w:r>
        <w:rPr>
          <w:i w:val="0"/>
          <w:iCs w:val="0"/>
          <w:color w:val="0070C0"/>
          <w:highlight w:val="yellow"/>
        </w:rPr>
        <w:t xml:space="preserve">and UE </w:t>
      </w:r>
      <w:r>
        <w:rPr>
          <w:rFonts w:hint="eastAsia"/>
          <w:i w:val="0"/>
          <w:iCs w:val="0"/>
          <w:color w:val="0070C0"/>
          <w:highlight w:val="yellow"/>
          <w:lang w:val="en-US" w:eastAsia="zh-CN"/>
        </w:rPr>
        <w:t>is not capable of</w:t>
      </w:r>
      <w:r>
        <w:rPr>
          <w:i w:val="0"/>
          <w:iCs w:val="0"/>
          <w:color w:val="0070C0"/>
          <w:highlight w:val="yellow"/>
        </w:rPr>
        <w:t xml:space="preserve"> </w:t>
      </w:r>
      <w:r>
        <w:rPr>
          <w:i w:val="0"/>
          <w:iCs w:val="0"/>
          <w:color w:val="0070C0"/>
          <w:highlight w:val="yellow"/>
          <w:lang w:val="en-US" w:eastAsia="zh-CN"/>
        </w:rPr>
        <w:t>[</w:t>
      </w:r>
      <w:r>
        <w:rPr>
          <w:rFonts w:hint="eastAsia"/>
          <w:i w:val="0"/>
          <w:iCs w:val="0"/>
          <w:color w:val="0070C0"/>
          <w:highlight w:val="yellow"/>
          <w:lang w:val="en-US" w:eastAsia="zh-CN"/>
        </w:rPr>
        <w:t>common Rx beam between PCC band and SCC band</w:t>
      </w:r>
      <w:r>
        <w:rPr>
          <w:i w:val="0"/>
          <w:iCs w:val="0"/>
          <w:color w:val="0070C0"/>
          <w:lang w:val="en-US" w:eastAsia="zh-CN"/>
        </w:rPr>
        <w:t>]</w:t>
      </w:r>
      <w:r>
        <w:rPr>
          <w:rFonts w:hint="eastAsia"/>
          <w:i w:val="0"/>
          <w:iCs w:val="0"/>
          <w:color w:val="0070C0"/>
          <w:lang w:val="en-US" w:eastAsia="zh-CN"/>
        </w:rPr>
        <w:t>.</w:t>
      </w:r>
    </w:p>
    <w:p w14:paraId="683D82C8">
      <w:pPr>
        <w:ind w:left="1703" w:leftChars="0" w:firstLine="284" w:firstLineChars="0"/>
        <w:rPr>
          <w:i w:val="0"/>
          <w:iCs w:val="0"/>
          <w:color w:val="0070C0"/>
        </w:rPr>
      </w:pPr>
      <w:r>
        <w:rPr>
          <w:rFonts w:hint="eastAsia"/>
          <w:i w:val="0"/>
          <w:iCs w:val="0"/>
          <w:color w:val="0070C0"/>
          <w:lang w:eastAsia="zh-CN"/>
        </w:rPr>
        <w:t>Otherwise</w:t>
      </w:r>
      <w:r>
        <w:rPr>
          <w:i w:val="0"/>
          <w:iCs w:val="0"/>
          <w:color w:val="0070C0"/>
          <w:lang w:eastAsia="zh-CN"/>
        </w:rPr>
        <w:t xml:space="preserve">, </w:t>
      </w:r>
      <w:r>
        <w:rPr>
          <w:i w:val="0"/>
          <w:iCs w:val="0"/>
          <w:color w:val="0070C0"/>
        </w:rPr>
        <w:t>K</w:t>
      </w:r>
      <w:r>
        <w:rPr>
          <w:i w:val="0"/>
          <w:iCs w:val="0"/>
          <w:color w:val="0070C0"/>
          <w:vertAlign w:val="subscript"/>
        </w:rPr>
        <w:t>layer1_measurement</w:t>
      </w:r>
      <w:r>
        <w:rPr>
          <w:i w:val="0"/>
          <w:iCs w:val="0"/>
          <w:color w:val="0070C0"/>
        </w:rPr>
        <w:t>=1</w:t>
      </w:r>
      <w:r>
        <w:rPr>
          <w:rFonts w:hint="eastAsia" w:eastAsia="宋体"/>
          <w:i w:val="0"/>
          <w:iCs w:val="0"/>
          <w:color w:val="0070C0"/>
          <w:lang w:val="en-US" w:eastAsia="zh-CN"/>
        </w:rPr>
        <w:t>.5</w:t>
      </w:r>
      <w:r>
        <w:rPr>
          <w:i w:val="0"/>
          <w:iCs w:val="0"/>
          <w:color w:val="0070C0"/>
        </w:rPr>
        <w:t>.</w:t>
      </w:r>
    </w:p>
    <w:p w14:paraId="7E97A2FF">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3: (CATT)</w:t>
      </w:r>
    </w:p>
    <w:p w14:paraId="54CEE775">
      <w:pPr>
        <w:pStyle w:val="150"/>
        <w:numPr>
          <w:ilvl w:val="2"/>
          <w:numId w:val="4"/>
        </w:numPr>
        <w:overflowPunct/>
        <w:autoSpaceDE/>
        <w:autoSpaceDN/>
        <w:adjustRightInd/>
        <w:spacing w:after="120"/>
        <w:ind w:left="1860" w:firstLineChars="0"/>
        <w:textAlignment w:val="auto"/>
        <w:rPr>
          <w:b w:val="0"/>
          <w:bCs/>
          <w:color w:val="0070C0"/>
        </w:rPr>
      </w:pPr>
      <w:r>
        <w:rPr>
          <w:rFonts w:hint="eastAsia"/>
          <w:b w:val="0"/>
          <w:bCs/>
          <w:color w:val="0070C0"/>
        </w:rPr>
        <w:t xml:space="preserve">RAN4 to follow the legacy method for defining </w:t>
      </w:r>
      <w:r>
        <w:rPr>
          <w:rFonts w:hint="eastAsia"/>
          <w:b w:val="0"/>
          <w:bCs/>
          <w:color w:val="0070C0"/>
          <w:lang w:val="sv-SE"/>
        </w:rPr>
        <w:t>the s</w:t>
      </w:r>
      <w:r>
        <w:rPr>
          <w:b w:val="0"/>
          <w:bCs/>
          <w:color w:val="0070C0"/>
          <w:lang w:val="sv-SE"/>
        </w:rPr>
        <w:t>haring factor</w:t>
      </w:r>
      <w:r>
        <w:rPr>
          <w:rFonts w:hint="eastAsia"/>
          <w:b w:val="0"/>
          <w:bCs/>
          <w:color w:val="0070C0"/>
          <w:lang w:val="sv-SE"/>
        </w:rPr>
        <w:t xml:space="preserve"> and only to specify the case for </w:t>
      </w:r>
      <w:r>
        <w:rPr>
          <w:b w:val="0"/>
          <w:bCs/>
          <w:color w:val="0070C0"/>
        </w:rPr>
        <w:t>K</w:t>
      </w:r>
      <w:r>
        <w:rPr>
          <w:b w:val="0"/>
          <w:bCs/>
          <w:color w:val="0070C0"/>
          <w:vertAlign w:val="subscript"/>
        </w:rPr>
        <w:t>layer1_measurement</w:t>
      </w:r>
      <w:r>
        <w:rPr>
          <w:rFonts w:hint="eastAsia"/>
          <w:b w:val="0"/>
          <w:bCs/>
          <w:color w:val="0070C0"/>
        </w:rPr>
        <w:t xml:space="preserve">=1 and otherwise </w:t>
      </w:r>
      <w:r>
        <w:rPr>
          <w:b w:val="0"/>
          <w:bCs/>
          <w:color w:val="0070C0"/>
        </w:rPr>
        <w:t>K</w:t>
      </w:r>
      <w:r>
        <w:rPr>
          <w:b w:val="0"/>
          <w:bCs/>
          <w:color w:val="0070C0"/>
          <w:vertAlign w:val="subscript"/>
        </w:rPr>
        <w:t>layer1_measurement</w:t>
      </w:r>
      <w:r>
        <w:rPr>
          <w:b w:val="0"/>
          <w:bCs/>
          <w:color w:val="0070C0"/>
        </w:rPr>
        <w:t>=1.5</w:t>
      </w:r>
      <w:r>
        <w:rPr>
          <w:rFonts w:hint="eastAsia"/>
          <w:b w:val="0"/>
          <w:bCs/>
          <w:color w:val="0070C0"/>
        </w:rPr>
        <w:t>.</w:t>
      </w:r>
    </w:p>
    <w:p w14:paraId="3B70903F">
      <w:pPr>
        <w:pStyle w:val="150"/>
        <w:numPr>
          <w:ilvl w:val="3"/>
          <w:numId w:val="4"/>
        </w:numPr>
        <w:overflowPunct/>
        <w:autoSpaceDE/>
        <w:autoSpaceDN/>
        <w:adjustRightInd/>
        <w:spacing w:after="120"/>
        <w:ind w:left="2280" w:firstLineChars="0"/>
        <w:textAlignment w:val="auto"/>
        <w:rPr>
          <w:b w:val="0"/>
          <w:bCs/>
          <w:color w:val="0070C0"/>
        </w:rPr>
      </w:pPr>
      <w:r>
        <w:rPr>
          <w:b w:val="0"/>
          <w:bCs/>
          <w:color w:val="0070C0"/>
        </w:rPr>
        <w:t>K</w:t>
      </w:r>
      <w:r>
        <w:rPr>
          <w:b w:val="0"/>
          <w:bCs/>
          <w:color w:val="0070C0"/>
          <w:vertAlign w:val="subscript"/>
        </w:rPr>
        <w:t>layer1_measurement</w:t>
      </w:r>
      <w:r>
        <w:rPr>
          <w:b w:val="0"/>
          <w:bCs/>
          <w:color w:val="0070C0"/>
        </w:rPr>
        <w:t xml:space="preserve">=1, </w:t>
      </w:r>
    </w:p>
    <w:p w14:paraId="6F629772">
      <w:pPr>
        <w:pStyle w:val="150"/>
        <w:numPr>
          <w:ilvl w:val="4"/>
          <w:numId w:val="4"/>
        </w:numPr>
        <w:overflowPunct/>
        <w:autoSpaceDE/>
        <w:autoSpaceDN/>
        <w:adjustRightInd/>
        <w:spacing w:after="120"/>
        <w:ind w:left="2700" w:leftChars="0" w:firstLineChars="0"/>
        <w:textAlignment w:val="auto"/>
        <w:rPr>
          <w:b w:val="0"/>
          <w:bCs/>
          <w:color w:val="0070C0"/>
        </w:rPr>
      </w:pPr>
      <w:r>
        <w:rPr>
          <w:b w:val="0"/>
          <w:bCs/>
          <w:color w:val="0070C0"/>
        </w:rPr>
        <w:t xml:space="preserve">if all of the reference signals configured for RLM, BFD, CBD or L1-RSRP for beam reporting outside measurement gap are not fully overlapped by intra-frequency SMTC occasions, or </w:t>
      </w:r>
    </w:p>
    <w:p w14:paraId="4B5EE266">
      <w:pPr>
        <w:pStyle w:val="150"/>
        <w:numPr>
          <w:ilvl w:val="4"/>
          <w:numId w:val="4"/>
        </w:numPr>
        <w:overflowPunct/>
        <w:autoSpaceDE/>
        <w:autoSpaceDN/>
        <w:adjustRightInd/>
        <w:spacing w:after="120"/>
        <w:ind w:left="2700" w:leftChars="0" w:firstLineChars="0"/>
        <w:textAlignment w:val="auto"/>
        <w:rPr>
          <w:b w:val="0"/>
          <w:bCs/>
          <w:color w:val="0070C0"/>
        </w:rPr>
      </w:pPr>
      <w:r>
        <w:rPr>
          <w:b w:val="0"/>
          <w:bCs/>
          <w:color w:val="0070C0"/>
        </w:rPr>
        <w:t>if all of the reference signals configured for RLM, BFD, CBD or L1-RSRP for beam reporting outside measurement gap are not fully overlapped by intra-frequency SMTC occasions</w:t>
      </w:r>
      <w:r>
        <w:rPr>
          <w:b w:val="0"/>
          <w:bCs/>
          <w:color w:val="0070C0"/>
          <w:u w:val="single"/>
        </w:rPr>
        <w:t xml:space="preserve"> of same serving cell when inter-band carrier aggregation within FR1 is configured [and UE doesn’t support capability of case 4]</w:t>
      </w:r>
      <w:r>
        <w:rPr>
          <w:b w:val="0"/>
          <w:bCs/>
          <w:color w:val="0070C0"/>
        </w:rPr>
        <w:t xml:space="preserve"> or</w:t>
      </w:r>
    </w:p>
    <w:p w14:paraId="64B00CF0">
      <w:pPr>
        <w:pStyle w:val="150"/>
        <w:numPr>
          <w:ilvl w:val="4"/>
          <w:numId w:val="4"/>
        </w:numPr>
        <w:overflowPunct/>
        <w:autoSpaceDE/>
        <w:autoSpaceDN/>
        <w:adjustRightInd/>
        <w:spacing w:after="120"/>
        <w:ind w:left="2700" w:leftChars="0" w:firstLineChars="0"/>
        <w:textAlignment w:val="auto"/>
        <w:rPr>
          <w:b w:val="0"/>
          <w:bCs/>
          <w:color w:val="0070C0"/>
        </w:rPr>
      </w:pPr>
      <w:r>
        <w:rPr>
          <w:b w:val="0"/>
          <w:bCs/>
          <w:color w:val="0070C0"/>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 or</w:t>
      </w:r>
    </w:p>
    <w:p w14:paraId="7971AC6B">
      <w:pPr>
        <w:pStyle w:val="150"/>
        <w:numPr>
          <w:ilvl w:val="4"/>
          <w:numId w:val="4"/>
        </w:numPr>
        <w:overflowPunct/>
        <w:autoSpaceDE/>
        <w:autoSpaceDN/>
        <w:adjustRightInd/>
        <w:spacing w:after="120"/>
        <w:ind w:left="2700" w:leftChars="0" w:firstLineChars="0"/>
        <w:textAlignment w:val="auto"/>
        <w:rPr>
          <w:b w:val="0"/>
          <w:bCs/>
          <w:color w:val="0070C0"/>
        </w:rPr>
      </w:pPr>
      <w:r>
        <w:rPr>
          <w:b w:val="0"/>
          <w:bCs/>
          <w:color w:val="0070C0"/>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Pr>
          <w:b w:val="0"/>
          <w:bCs/>
          <w:color w:val="0070C0"/>
          <w:u w:val="single"/>
        </w:rPr>
        <w:t>of same serving cell when inter-band carrier aggregation within FR1 is configured [and UE doesn’t support capability of case 4]</w:t>
      </w:r>
      <w:r>
        <w:rPr>
          <w:b w:val="0"/>
          <w:bCs/>
          <w:color w:val="0070C0"/>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24CF4C18">
      <w:pPr>
        <w:pStyle w:val="150"/>
        <w:numPr>
          <w:ilvl w:val="3"/>
          <w:numId w:val="4"/>
        </w:numPr>
        <w:overflowPunct/>
        <w:autoSpaceDE/>
        <w:autoSpaceDN/>
        <w:adjustRightInd/>
        <w:spacing w:after="120"/>
        <w:ind w:left="2280" w:firstLineChars="0"/>
        <w:textAlignment w:val="auto"/>
        <w:rPr>
          <w:b w:val="0"/>
          <w:bCs/>
          <w:color w:val="0070C0"/>
        </w:rPr>
      </w:pPr>
      <w:r>
        <w:rPr>
          <w:b w:val="0"/>
          <w:bCs/>
          <w:color w:val="0070C0"/>
        </w:rPr>
        <w:t>K</w:t>
      </w:r>
      <w:r>
        <w:rPr>
          <w:b w:val="0"/>
          <w:bCs/>
          <w:color w:val="0070C0"/>
          <w:vertAlign w:val="subscript"/>
        </w:rPr>
        <w:t>layer1_measurement</w:t>
      </w:r>
      <w:r>
        <w:rPr>
          <w:b w:val="0"/>
          <w:bCs/>
          <w:color w:val="0070C0"/>
        </w:rPr>
        <w:t>=1.5, otherwise.</w:t>
      </w:r>
    </w:p>
    <w:p w14:paraId="4A29E24E">
      <w:pPr>
        <w:pStyle w:val="150"/>
        <w:numPr>
          <w:ilvl w:val="0"/>
          <w:numId w:val="4"/>
        </w:numPr>
        <w:overflowPunct/>
        <w:autoSpaceDE/>
        <w:autoSpaceDN/>
        <w:adjustRightInd/>
        <w:spacing w:after="120"/>
        <w:ind w:left="720" w:firstLineChars="0"/>
        <w:textAlignment w:val="auto"/>
        <w:rPr>
          <w:rFonts w:hint="default" w:ascii="Times New Roman" w:hAnsi="Times New Roman" w:eastAsia="宋体" w:cs="Times New Roman"/>
          <w:b/>
          <w:bCs/>
          <w:color w:val="0070C0"/>
          <w:szCs w:val="24"/>
          <w:lang w:eastAsia="zh-CN"/>
        </w:rPr>
      </w:pPr>
      <w:r>
        <w:rPr>
          <w:rFonts w:hint="default" w:ascii="Times New Roman" w:hAnsi="Times New Roman" w:eastAsia="宋体" w:cs="Times New Roman"/>
          <w:b/>
          <w:bCs/>
          <w:color w:val="0070C0"/>
          <w:szCs w:val="24"/>
          <w:lang w:eastAsia="zh-CN"/>
        </w:rPr>
        <w:t>Recommended WF</w:t>
      </w:r>
    </w:p>
    <w:p w14:paraId="7E733EE9">
      <w:pPr>
        <w:pStyle w:val="150"/>
        <w:numPr>
          <w:ilvl w:val="1"/>
          <w:numId w:val="4"/>
        </w:numPr>
        <w:overflowPunct/>
        <w:autoSpaceDE/>
        <w:autoSpaceDN/>
        <w:adjustRightInd/>
        <w:spacing w:after="120"/>
        <w:ind w:left="1140" w:leftChars="0" w:firstLineChars="0"/>
        <w:textAlignment w:val="auto"/>
        <w:rPr>
          <w:rFonts w:hint="default" w:ascii="Times New Roman" w:hAnsi="Times New Roman" w:eastAsia="宋体" w:cs="Times New Roman"/>
          <w:b w:val="0"/>
          <w:bCs w:val="0"/>
          <w:color w:val="0070C0"/>
          <w:szCs w:val="24"/>
          <w:lang w:eastAsia="zh-CN"/>
        </w:rPr>
      </w:pPr>
      <w:r>
        <w:rPr>
          <w:rFonts w:hint="eastAsia" w:eastAsia="宋体" w:cs="Times New Roman"/>
          <w:b w:val="0"/>
          <w:bCs w:val="0"/>
          <w:color w:val="0070C0"/>
          <w:szCs w:val="24"/>
          <w:lang w:val="en-US" w:eastAsia="zh-CN"/>
        </w:rPr>
        <w:t xml:space="preserve">Firstly discuss </w:t>
      </w:r>
      <w:r>
        <w:rPr>
          <w:rFonts w:hint="default" w:eastAsia="宋体" w:cs="Times New Roman"/>
          <w:b w:val="0"/>
          <w:bCs w:val="0"/>
          <w:color w:val="0070C0"/>
          <w:szCs w:val="24"/>
          <w:lang w:val="en-US" w:eastAsia="zh-CN"/>
        </w:rPr>
        <w:t>‘</w:t>
      </w:r>
      <w:r>
        <w:rPr>
          <w:rFonts w:hint="eastAsia" w:eastAsia="宋体" w:cs="Times New Roman"/>
          <w:b w:val="0"/>
          <w:bCs w:val="0"/>
          <w:color w:val="0070C0"/>
          <w:szCs w:val="24"/>
          <w:lang w:val="en-US" w:eastAsia="zh-CN"/>
        </w:rPr>
        <w:t xml:space="preserve">no configured </w:t>
      </w:r>
      <w:r>
        <w:rPr>
          <w:b w:val="0"/>
          <w:bCs w:val="0"/>
          <w:color w:val="0070C0"/>
          <w:sz w:val="21"/>
          <w:szCs w:val="22"/>
        </w:rPr>
        <w:t>SSB-ToMeasure and SS-RSSI-Measurement</w:t>
      </w:r>
      <w:r>
        <w:rPr>
          <w:rFonts w:hint="default" w:eastAsia="宋体"/>
          <w:b w:val="0"/>
          <w:bCs w:val="0"/>
          <w:color w:val="0070C0"/>
          <w:sz w:val="21"/>
          <w:szCs w:val="22"/>
          <w:lang w:val="en-US" w:eastAsia="zh-CN"/>
        </w:rPr>
        <w:t>’</w:t>
      </w:r>
      <w:r>
        <w:rPr>
          <w:rFonts w:hint="eastAsia" w:eastAsia="宋体"/>
          <w:b w:val="0"/>
          <w:bCs w:val="0"/>
          <w:color w:val="0070C0"/>
          <w:sz w:val="21"/>
          <w:szCs w:val="22"/>
          <w:lang w:val="en-US" w:eastAsia="zh-CN"/>
        </w:rPr>
        <w:t xml:space="preserve"> case, and apply same format to </w:t>
      </w:r>
      <w:r>
        <w:rPr>
          <w:rFonts w:hint="default" w:eastAsia="宋体"/>
          <w:b w:val="0"/>
          <w:bCs w:val="0"/>
          <w:color w:val="0070C0"/>
          <w:sz w:val="21"/>
          <w:szCs w:val="22"/>
          <w:lang w:val="en-US" w:eastAsia="zh-CN"/>
        </w:rPr>
        <w:t>‘</w:t>
      </w:r>
      <w:r>
        <w:rPr>
          <w:rFonts w:hint="eastAsia" w:eastAsia="宋体" w:cs="Times New Roman"/>
          <w:b w:val="0"/>
          <w:bCs w:val="0"/>
          <w:color w:val="0070C0"/>
          <w:szCs w:val="24"/>
          <w:lang w:val="en-US" w:eastAsia="zh-CN"/>
        </w:rPr>
        <w:t xml:space="preserve">configured </w:t>
      </w:r>
      <w:r>
        <w:rPr>
          <w:b w:val="0"/>
          <w:bCs w:val="0"/>
          <w:color w:val="0070C0"/>
          <w:sz w:val="21"/>
          <w:szCs w:val="22"/>
        </w:rPr>
        <w:t>SSB-ToMeasure and SS-RSSI-Measurement</w:t>
      </w:r>
      <w:r>
        <w:rPr>
          <w:rFonts w:hint="eastAsia" w:eastAsia="宋体"/>
          <w:b w:val="0"/>
          <w:bCs w:val="0"/>
          <w:color w:val="0070C0"/>
          <w:sz w:val="21"/>
          <w:szCs w:val="22"/>
          <w:lang w:val="en-US" w:eastAsia="zh-CN"/>
        </w:rPr>
        <w:t xml:space="preserve"> case</w:t>
      </w:r>
      <w:r>
        <w:rPr>
          <w:rFonts w:hint="default" w:eastAsia="宋体"/>
          <w:b w:val="0"/>
          <w:bCs w:val="0"/>
          <w:color w:val="0070C0"/>
          <w:sz w:val="21"/>
          <w:szCs w:val="22"/>
          <w:lang w:val="en-US" w:eastAsia="zh-CN"/>
        </w:rPr>
        <w:t>’</w:t>
      </w:r>
      <w:r>
        <w:rPr>
          <w:rFonts w:hint="eastAsia" w:eastAsia="宋体"/>
          <w:b w:val="0"/>
          <w:bCs w:val="0"/>
          <w:color w:val="0070C0"/>
          <w:sz w:val="21"/>
          <w:szCs w:val="22"/>
          <w:lang w:val="en-US" w:eastAsia="zh-CN"/>
        </w:rPr>
        <w:t xml:space="preserve"> after drawing the conclusion of Issue 1-3-2</w:t>
      </w:r>
    </w:p>
    <w:p w14:paraId="51E83C0B">
      <w:pPr>
        <w:pStyle w:val="150"/>
        <w:numPr>
          <w:ilvl w:val="1"/>
          <w:numId w:val="4"/>
        </w:numPr>
        <w:overflowPunct/>
        <w:autoSpaceDE/>
        <w:autoSpaceDN/>
        <w:adjustRightInd/>
        <w:spacing w:after="120"/>
        <w:ind w:left="1140" w:leftChars="0" w:firstLineChars="0"/>
        <w:textAlignment w:val="auto"/>
        <w:rPr>
          <w:rFonts w:hint="default" w:ascii="Times New Roman" w:hAnsi="Times New Roman" w:eastAsia="宋体" w:cs="Times New Roman"/>
          <w:b w:val="0"/>
          <w:bCs w:val="0"/>
          <w:i w:val="0"/>
          <w:iCs w:val="0"/>
          <w:color w:val="0070C0"/>
          <w:szCs w:val="24"/>
          <w:lang w:eastAsia="zh-CN"/>
        </w:rPr>
      </w:pPr>
      <w:r>
        <w:rPr>
          <w:rFonts w:hint="eastAsia" w:eastAsia="宋体" w:cs="Times New Roman"/>
          <w:b w:val="0"/>
          <w:bCs w:val="0"/>
          <w:i w:val="0"/>
          <w:iCs w:val="0"/>
          <w:color w:val="0070C0"/>
          <w:szCs w:val="24"/>
          <w:lang w:val="en-US" w:eastAsia="zh-CN"/>
        </w:rPr>
        <w:t>Moderator summary the proposals from companies as:</w:t>
      </w:r>
    </w:p>
    <w:p w14:paraId="53DFD1BD">
      <w:pPr>
        <w:pStyle w:val="150"/>
        <w:numPr>
          <w:ilvl w:val="1"/>
          <w:numId w:val="4"/>
        </w:numPr>
        <w:overflowPunct/>
        <w:autoSpaceDE/>
        <w:autoSpaceDN/>
        <w:adjustRightInd/>
        <w:spacing w:after="120"/>
        <w:ind w:left="1440" w:firstLineChars="0"/>
        <w:textAlignment w:val="auto"/>
        <w:rPr>
          <w:b w:val="0"/>
          <w:bCs w:val="0"/>
          <w:i w:val="0"/>
          <w:iCs w:val="0"/>
          <w:snapToGrid/>
          <w:color w:val="0070C0"/>
          <w:sz w:val="20"/>
          <w:szCs w:val="20"/>
        </w:rPr>
      </w:pPr>
      <w:r>
        <w:rPr>
          <w:rFonts w:hint="eastAsia" w:eastAsia="宋体" w:cs="Times New Roman"/>
          <w:b w:val="0"/>
          <w:bCs w:val="0"/>
          <w:i w:val="0"/>
          <w:iCs w:val="0"/>
          <w:color w:val="0070C0"/>
          <w:szCs w:val="24"/>
          <w:lang w:val="en-US" w:eastAsia="zh-CN"/>
        </w:rPr>
        <w:t xml:space="preserve">For </w:t>
      </w:r>
      <w:r>
        <w:rPr>
          <w:b w:val="0"/>
          <w:bCs w:val="0"/>
          <w:i w:val="0"/>
          <w:iCs w:val="0"/>
          <w:color w:val="0070C0"/>
          <w:lang w:eastAsia="zh-CN"/>
        </w:rPr>
        <w:t xml:space="preserve">UE </w:t>
      </w:r>
      <w:r>
        <w:rPr>
          <w:rFonts w:hint="eastAsia"/>
          <w:b w:val="0"/>
          <w:bCs w:val="0"/>
          <w:i w:val="0"/>
          <w:iCs w:val="0"/>
          <w:color w:val="0070C0"/>
          <w:lang w:val="en-US" w:eastAsia="zh-CN"/>
        </w:rPr>
        <w:t>capable of [</w:t>
      </w:r>
      <w:r>
        <w:rPr>
          <w:b w:val="0"/>
          <w:bCs w:val="0"/>
          <w:i w:val="0"/>
          <w:iCs w:val="0"/>
          <w:color w:val="0070C0"/>
        </w:rPr>
        <w:t>antennaArrayType-r1</w:t>
      </w:r>
      <w:r>
        <w:rPr>
          <w:rFonts w:hint="eastAsia" w:eastAsia="宋体"/>
          <w:b w:val="0"/>
          <w:bCs w:val="0"/>
          <w:i w:val="0"/>
          <w:iCs w:val="0"/>
          <w:color w:val="0070C0"/>
          <w:lang w:val="en-US" w:eastAsia="zh-CN"/>
        </w:rPr>
        <w:t xml:space="preserve">8] on the measured carrier and single carrier case, </w:t>
      </w:r>
      <w:r>
        <w:rPr>
          <w:b w:val="0"/>
          <w:bCs w:val="0"/>
          <w:i w:val="0"/>
          <w:iCs w:val="0"/>
          <w:color w:val="0070C0"/>
          <w:sz w:val="20"/>
          <w:szCs w:val="20"/>
          <w:lang w:eastAsia="en-GB"/>
        </w:rPr>
        <w:t>K</w:t>
      </w:r>
      <w:r>
        <w:rPr>
          <w:b w:val="0"/>
          <w:bCs w:val="0"/>
          <w:i w:val="0"/>
          <w:iCs w:val="0"/>
          <w:color w:val="0070C0"/>
          <w:sz w:val="20"/>
          <w:szCs w:val="20"/>
          <w:vertAlign w:val="subscript"/>
          <w:lang w:eastAsia="en-GB"/>
        </w:rPr>
        <w:t>layer1_measurement</w:t>
      </w:r>
      <w:r>
        <w:rPr>
          <w:b w:val="0"/>
          <w:bCs w:val="0"/>
          <w:i w:val="0"/>
          <w:iCs w:val="0"/>
          <w:color w:val="0070C0"/>
          <w:sz w:val="20"/>
          <w:szCs w:val="20"/>
          <w:lang w:eastAsia="en-GB"/>
        </w:rPr>
        <w:t xml:space="preserve">=1, </w:t>
      </w:r>
    </w:p>
    <w:p w14:paraId="180CC49B">
      <w:pPr>
        <w:numPr>
          <w:ilvl w:val="3"/>
          <w:numId w:val="4"/>
        </w:numPr>
        <w:snapToGrid w:val="0"/>
        <w:spacing w:after="120"/>
        <w:ind w:left="2280"/>
        <w:rPr>
          <w:b w:val="0"/>
          <w:bCs w:val="0"/>
          <w:i w:val="0"/>
          <w:iCs w:val="0"/>
          <w:color w:val="0070C0"/>
          <w:sz w:val="20"/>
          <w:szCs w:val="21"/>
        </w:rPr>
      </w:pPr>
      <w:r>
        <w:rPr>
          <w:b w:val="0"/>
          <w:bCs w:val="0"/>
          <w:i w:val="0"/>
          <w:iCs w:val="0"/>
          <w:color w:val="0070C0"/>
          <w:sz w:val="20"/>
          <w:szCs w:val="21"/>
        </w:rPr>
        <w:t>if all of the reference signals configured for RLM, BFD, CBD or L1-RSRP for beam reporting outside measurement gap are not fully overlapped by intra-frequency SMTC occasions</w:t>
      </w:r>
    </w:p>
    <w:p w14:paraId="44B1BD29">
      <w:pPr>
        <w:pStyle w:val="150"/>
        <w:numPr>
          <w:ilvl w:val="1"/>
          <w:numId w:val="4"/>
        </w:numPr>
        <w:overflowPunct/>
        <w:autoSpaceDE/>
        <w:autoSpaceDN/>
        <w:adjustRightInd/>
        <w:spacing w:after="120"/>
        <w:ind w:left="1440" w:firstLineChars="0"/>
        <w:textAlignment w:val="auto"/>
        <w:rPr>
          <w:b w:val="0"/>
          <w:bCs w:val="0"/>
          <w:i w:val="0"/>
          <w:iCs w:val="0"/>
          <w:snapToGrid/>
          <w:color w:val="0070C0"/>
          <w:sz w:val="20"/>
          <w:szCs w:val="20"/>
        </w:rPr>
      </w:pPr>
      <w:r>
        <w:rPr>
          <w:rFonts w:hint="eastAsia" w:eastAsia="宋体" w:cs="Times New Roman"/>
          <w:b w:val="0"/>
          <w:bCs w:val="0"/>
          <w:i w:val="0"/>
          <w:iCs w:val="0"/>
          <w:color w:val="0070C0"/>
          <w:szCs w:val="24"/>
          <w:lang w:val="en-US" w:eastAsia="zh-CN"/>
        </w:rPr>
        <w:t xml:space="preserve">For </w:t>
      </w:r>
      <w:r>
        <w:rPr>
          <w:b w:val="0"/>
          <w:bCs w:val="0"/>
          <w:i w:val="0"/>
          <w:iCs w:val="0"/>
          <w:color w:val="0070C0"/>
          <w:lang w:eastAsia="zh-CN"/>
        </w:rPr>
        <w:t xml:space="preserve">UE </w:t>
      </w:r>
      <w:r>
        <w:rPr>
          <w:rFonts w:hint="eastAsia"/>
          <w:b w:val="0"/>
          <w:bCs w:val="0"/>
          <w:i w:val="0"/>
          <w:iCs w:val="0"/>
          <w:color w:val="0070C0"/>
          <w:lang w:val="en-US" w:eastAsia="zh-CN"/>
        </w:rPr>
        <w:t>capable of [</w:t>
      </w:r>
      <w:r>
        <w:rPr>
          <w:b w:val="0"/>
          <w:bCs w:val="0"/>
          <w:i w:val="0"/>
          <w:iCs w:val="0"/>
          <w:color w:val="0070C0"/>
        </w:rPr>
        <w:t>antennaArrayType-r1</w:t>
      </w:r>
      <w:r>
        <w:rPr>
          <w:rFonts w:hint="eastAsia" w:eastAsia="宋体"/>
          <w:b w:val="0"/>
          <w:bCs w:val="0"/>
          <w:i w:val="0"/>
          <w:iCs w:val="0"/>
          <w:color w:val="0070C0"/>
          <w:lang w:val="en-US" w:eastAsia="zh-CN"/>
        </w:rPr>
        <w:t>8] on the measured carrier</w:t>
      </w:r>
      <w:r>
        <w:rPr>
          <w:rFonts w:hint="eastAsia" w:eastAsia="宋体"/>
          <w:b w:val="0"/>
          <w:bCs w:val="0"/>
          <w:i w:val="0"/>
          <w:iCs w:val="0"/>
          <w:color w:val="0070C0"/>
          <w:u w:val="single"/>
          <w:lang w:val="en-US" w:eastAsia="zh-CN"/>
        </w:rPr>
        <w:t xml:space="preserve"> and intra-band CA case and inter-band CA case#4 case</w:t>
      </w:r>
      <w:r>
        <w:rPr>
          <w:rFonts w:hint="eastAsia" w:eastAsia="宋体"/>
          <w:b w:val="0"/>
          <w:bCs w:val="0"/>
          <w:i w:val="0"/>
          <w:iCs w:val="0"/>
          <w:color w:val="0070C0"/>
          <w:lang w:val="en-US" w:eastAsia="zh-CN"/>
        </w:rPr>
        <w:t xml:space="preserve">, </w:t>
      </w:r>
      <w:r>
        <w:rPr>
          <w:b w:val="0"/>
          <w:bCs w:val="0"/>
          <w:i w:val="0"/>
          <w:iCs w:val="0"/>
          <w:color w:val="0070C0"/>
          <w:sz w:val="20"/>
          <w:szCs w:val="20"/>
          <w:lang w:eastAsia="en-GB"/>
        </w:rPr>
        <w:t>K</w:t>
      </w:r>
      <w:r>
        <w:rPr>
          <w:b w:val="0"/>
          <w:bCs w:val="0"/>
          <w:i w:val="0"/>
          <w:iCs w:val="0"/>
          <w:color w:val="0070C0"/>
          <w:sz w:val="20"/>
          <w:szCs w:val="20"/>
          <w:vertAlign w:val="subscript"/>
          <w:lang w:eastAsia="en-GB"/>
        </w:rPr>
        <w:t>layer1_measurement</w:t>
      </w:r>
      <w:r>
        <w:rPr>
          <w:b w:val="0"/>
          <w:bCs w:val="0"/>
          <w:i w:val="0"/>
          <w:iCs w:val="0"/>
          <w:color w:val="0070C0"/>
          <w:sz w:val="20"/>
          <w:szCs w:val="20"/>
          <w:lang w:eastAsia="en-GB"/>
        </w:rPr>
        <w:t xml:space="preserve">=1, </w:t>
      </w:r>
    </w:p>
    <w:p w14:paraId="06DD348A">
      <w:pPr>
        <w:numPr>
          <w:ilvl w:val="3"/>
          <w:numId w:val="4"/>
        </w:numPr>
        <w:snapToGrid w:val="0"/>
        <w:spacing w:after="120"/>
        <w:ind w:left="2280"/>
        <w:rPr>
          <w:b w:val="0"/>
          <w:bCs w:val="0"/>
          <w:i w:val="0"/>
          <w:iCs w:val="0"/>
          <w:color w:val="0070C0"/>
          <w:sz w:val="20"/>
          <w:szCs w:val="21"/>
        </w:rPr>
      </w:pPr>
      <w:r>
        <w:rPr>
          <w:b w:val="0"/>
          <w:bCs w:val="0"/>
          <w:i w:val="0"/>
          <w:iCs w:val="0"/>
          <w:color w:val="0070C0"/>
          <w:sz w:val="20"/>
          <w:szCs w:val="21"/>
        </w:rPr>
        <w:t xml:space="preserve">if all of the reference signals configured for RLM, BFD, CBD or L1-RSRP for beam reporting </w:t>
      </w:r>
      <w:r>
        <w:rPr>
          <w:rFonts w:hint="eastAsia"/>
          <w:b w:val="0"/>
          <w:bCs w:val="0"/>
          <w:i w:val="0"/>
          <w:iCs w:val="0"/>
          <w:color w:val="0070C0"/>
          <w:sz w:val="20"/>
          <w:szCs w:val="21"/>
          <w:highlight w:val="yellow"/>
          <w:lang w:val="en-US" w:eastAsia="zh-CN"/>
        </w:rPr>
        <w:t>on PCC and SCC/on any serving frequency</w:t>
      </w:r>
      <w:r>
        <w:rPr>
          <w:rFonts w:hint="eastAsia"/>
          <w:b w:val="0"/>
          <w:bCs w:val="0"/>
          <w:i w:val="0"/>
          <w:iCs w:val="0"/>
          <w:color w:val="0070C0"/>
          <w:sz w:val="20"/>
          <w:szCs w:val="21"/>
          <w:lang w:val="en-US" w:eastAsia="zh-CN"/>
        </w:rPr>
        <w:t xml:space="preserve"> </w:t>
      </w:r>
      <w:r>
        <w:rPr>
          <w:b w:val="0"/>
          <w:bCs w:val="0"/>
          <w:i w:val="0"/>
          <w:iCs w:val="0"/>
          <w:color w:val="0070C0"/>
          <w:sz w:val="20"/>
          <w:szCs w:val="21"/>
        </w:rPr>
        <w:t>outside measurement gap are not fully overlapped by intra-frequency SMTC occasions</w:t>
      </w:r>
    </w:p>
    <w:p w14:paraId="2E20B0EA">
      <w:pPr>
        <w:pStyle w:val="150"/>
        <w:numPr>
          <w:ilvl w:val="1"/>
          <w:numId w:val="4"/>
        </w:numPr>
        <w:overflowPunct/>
        <w:autoSpaceDE/>
        <w:autoSpaceDN/>
        <w:adjustRightInd/>
        <w:spacing w:after="120"/>
        <w:ind w:left="1440" w:firstLineChars="0"/>
        <w:textAlignment w:val="auto"/>
        <w:rPr>
          <w:b w:val="0"/>
          <w:bCs w:val="0"/>
          <w:i w:val="0"/>
          <w:iCs w:val="0"/>
          <w:snapToGrid/>
          <w:color w:val="0070C0"/>
          <w:sz w:val="20"/>
          <w:szCs w:val="20"/>
        </w:rPr>
      </w:pPr>
      <w:r>
        <w:rPr>
          <w:rFonts w:hint="eastAsia" w:eastAsia="宋体" w:cs="Times New Roman"/>
          <w:b w:val="0"/>
          <w:bCs w:val="0"/>
          <w:i w:val="0"/>
          <w:iCs w:val="0"/>
          <w:color w:val="0070C0"/>
          <w:szCs w:val="24"/>
          <w:lang w:val="en-US" w:eastAsia="zh-CN"/>
        </w:rPr>
        <w:t xml:space="preserve">For </w:t>
      </w:r>
      <w:r>
        <w:rPr>
          <w:b w:val="0"/>
          <w:bCs w:val="0"/>
          <w:i w:val="0"/>
          <w:iCs w:val="0"/>
          <w:color w:val="0070C0"/>
          <w:lang w:eastAsia="zh-CN"/>
        </w:rPr>
        <w:t xml:space="preserve">UE </w:t>
      </w:r>
      <w:r>
        <w:rPr>
          <w:rFonts w:hint="eastAsia"/>
          <w:b w:val="0"/>
          <w:bCs w:val="0"/>
          <w:i w:val="0"/>
          <w:iCs w:val="0"/>
          <w:color w:val="0070C0"/>
          <w:lang w:val="en-US" w:eastAsia="zh-CN"/>
        </w:rPr>
        <w:t>capable of [</w:t>
      </w:r>
      <w:r>
        <w:rPr>
          <w:b w:val="0"/>
          <w:bCs w:val="0"/>
          <w:i w:val="0"/>
          <w:iCs w:val="0"/>
          <w:color w:val="0070C0"/>
        </w:rPr>
        <w:t>antennaArrayType-r1</w:t>
      </w:r>
      <w:r>
        <w:rPr>
          <w:rFonts w:hint="eastAsia" w:eastAsia="宋体"/>
          <w:b w:val="0"/>
          <w:bCs w:val="0"/>
          <w:i w:val="0"/>
          <w:iCs w:val="0"/>
          <w:color w:val="0070C0"/>
          <w:lang w:val="en-US" w:eastAsia="zh-CN"/>
        </w:rPr>
        <w:t xml:space="preserve">8] on the measured carrier </w:t>
      </w:r>
      <w:r>
        <w:rPr>
          <w:rFonts w:hint="eastAsia" w:eastAsia="宋体"/>
          <w:b w:val="0"/>
          <w:bCs w:val="0"/>
          <w:i w:val="0"/>
          <w:iCs w:val="0"/>
          <w:color w:val="0070C0"/>
          <w:u w:val="single"/>
          <w:lang w:val="en-US" w:eastAsia="zh-CN"/>
        </w:rPr>
        <w:t>and inter-band CA except for case#4 case</w:t>
      </w:r>
      <w:r>
        <w:rPr>
          <w:rFonts w:hint="eastAsia" w:eastAsia="宋体"/>
          <w:b w:val="0"/>
          <w:bCs w:val="0"/>
          <w:i w:val="0"/>
          <w:iCs w:val="0"/>
          <w:color w:val="0070C0"/>
          <w:lang w:val="en-US" w:eastAsia="zh-CN"/>
        </w:rPr>
        <w:t xml:space="preserve">, </w:t>
      </w:r>
      <w:r>
        <w:rPr>
          <w:b w:val="0"/>
          <w:bCs w:val="0"/>
          <w:i w:val="0"/>
          <w:iCs w:val="0"/>
          <w:color w:val="0070C0"/>
          <w:sz w:val="20"/>
          <w:szCs w:val="20"/>
          <w:lang w:eastAsia="en-GB"/>
        </w:rPr>
        <w:t>K</w:t>
      </w:r>
      <w:r>
        <w:rPr>
          <w:b w:val="0"/>
          <w:bCs w:val="0"/>
          <w:i w:val="0"/>
          <w:iCs w:val="0"/>
          <w:color w:val="0070C0"/>
          <w:sz w:val="20"/>
          <w:szCs w:val="20"/>
          <w:vertAlign w:val="subscript"/>
          <w:lang w:eastAsia="en-GB"/>
        </w:rPr>
        <w:t>layer1_measurement</w:t>
      </w:r>
      <w:r>
        <w:rPr>
          <w:b w:val="0"/>
          <w:bCs w:val="0"/>
          <w:i w:val="0"/>
          <w:iCs w:val="0"/>
          <w:color w:val="0070C0"/>
          <w:sz w:val="20"/>
          <w:szCs w:val="20"/>
          <w:lang w:eastAsia="en-GB"/>
        </w:rPr>
        <w:t xml:space="preserve">=1, </w:t>
      </w:r>
    </w:p>
    <w:p w14:paraId="6CA88DBC">
      <w:pPr>
        <w:numPr>
          <w:ilvl w:val="3"/>
          <w:numId w:val="4"/>
        </w:numPr>
        <w:snapToGrid w:val="0"/>
        <w:spacing w:after="120"/>
        <w:ind w:left="2280"/>
        <w:rPr>
          <w:rFonts w:hint="default" w:ascii="Times New Roman" w:hAnsi="Times New Roman" w:eastAsia="宋体" w:cs="Times New Roman"/>
          <w:b w:val="0"/>
          <w:bCs w:val="0"/>
          <w:i w:val="0"/>
          <w:iCs w:val="0"/>
          <w:color w:val="0070C0"/>
          <w:sz w:val="20"/>
          <w:szCs w:val="20"/>
          <w:lang w:eastAsia="zh-CN"/>
        </w:rPr>
      </w:pPr>
      <w:r>
        <w:rPr>
          <w:b w:val="0"/>
          <w:bCs w:val="0"/>
          <w:i w:val="0"/>
          <w:iCs w:val="0"/>
          <w:color w:val="0070C0"/>
          <w:sz w:val="20"/>
          <w:szCs w:val="20"/>
        </w:rPr>
        <w:t>if all of the reference signals configured for RLM, BFD, CBD or L1-RSRP for beam reporting</w:t>
      </w:r>
      <w:r>
        <w:rPr>
          <w:rFonts w:hint="eastAsia"/>
          <w:b w:val="0"/>
          <w:bCs w:val="0"/>
          <w:i w:val="0"/>
          <w:iCs w:val="0"/>
          <w:color w:val="0070C0"/>
          <w:sz w:val="20"/>
          <w:szCs w:val="20"/>
          <w:lang w:val="en-US" w:eastAsia="zh-CN"/>
        </w:rPr>
        <w:t xml:space="preserve"> </w:t>
      </w:r>
      <w:r>
        <w:rPr>
          <w:b w:val="0"/>
          <w:bCs w:val="0"/>
          <w:i w:val="0"/>
          <w:iCs w:val="0"/>
          <w:color w:val="0070C0"/>
          <w:sz w:val="20"/>
          <w:szCs w:val="20"/>
        </w:rPr>
        <w:t>outside measurement gap are not fully overlapped by intra-frequency SMTC occasions</w:t>
      </w:r>
      <w:r>
        <w:rPr>
          <w:rFonts w:hint="eastAsia"/>
          <w:b w:val="0"/>
          <w:bCs w:val="0"/>
          <w:i w:val="0"/>
          <w:iCs w:val="0"/>
          <w:color w:val="0070C0"/>
          <w:sz w:val="20"/>
          <w:szCs w:val="20"/>
          <w:highlight w:val="yellow"/>
          <w:lang w:val="en-US" w:eastAsia="zh-CN"/>
        </w:rPr>
        <w:t xml:space="preserve"> </w:t>
      </w:r>
      <w:r>
        <w:rPr>
          <w:rFonts w:hint="eastAsia"/>
          <w:b w:val="0"/>
          <w:bCs w:val="0"/>
          <w:i w:val="0"/>
          <w:iCs w:val="0"/>
          <w:color w:val="0070C0"/>
          <w:sz w:val="20"/>
          <w:szCs w:val="20"/>
          <w:highlight w:val="yellow"/>
          <w:u w:val="single"/>
          <w:lang w:val="en-US" w:eastAsia="zh-CN"/>
        </w:rPr>
        <w:t xml:space="preserve">of </w:t>
      </w:r>
      <w:r>
        <w:rPr>
          <w:b w:val="0"/>
          <w:bCs w:val="0"/>
          <w:i w:val="0"/>
          <w:iCs w:val="0"/>
          <w:color w:val="0070C0"/>
          <w:sz w:val="20"/>
          <w:szCs w:val="20"/>
          <w:highlight w:val="yellow"/>
          <w:u w:val="single"/>
        </w:rPr>
        <w:t>same serving cell</w:t>
      </w:r>
    </w:p>
    <w:p w14:paraId="576750B9">
      <w:pPr>
        <w:pStyle w:val="150"/>
        <w:numPr>
          <w:ilvl w:val="1"/>
          <w:numId w:val="4"/>
        </w:numPr>
        <w:overflowPunct/>
        <w:autoSpaceDE/>
        <w:autoSpaceDN/>
        <w:adjustRightInd/>
        <w:spacing w:after="120"/>
        <w:ind w:left="1140" w:leftChars="0" w:firstLineChars="0"/>
        <w:textAlignment w:val="auto"/>
        <w:rPr>
          <w:rFonts w:hint="default" w:ascii="Times New Roman" w:hAnsi="Times New Roman" w:eastAsia="宋体" w:cs="Times New Roman"/>
          <w:b w:val="0"/>
          <w:bCs w:val="0"/>
          <w:i w:val="0"/>
          <w:iCs w:val="0"/>
          <w:color w:val="0070C0"/>
          <w:sz w:val="20"/>
          <w:szCs w:val="20"/>
          <w:lang w:eastAsia="zh-CN"/>
        </w:rPr>
      </w:pPr>
      <w:r>
        <w:rPr>
          <w:rFonts w:hint="eastAsia" w:eastAsia="宋体" w:cs="Times New Roman"/>
          <w:b w:val="0"/>
          <w:bCs w:val="0"/>
          <w:i w:val="0"/>
          <w:iCs w:val="0"/>
          <w:color w:val="0070C0"/>
          <w:sz w:val="20"/>
          <w:szCs w:val="20"/>
          <w:lang w:val="en-US" w:eastAsia="zh-CN"/>
        </w:rPr>
        <w:t xml:space="preserve">Could the first two cases merged with the condition </w:t>
      </w:r>
      <w:r>
        <w:rPr>
          <w:rFonts w:hint="default" w:eastAsia="宋体" w:cs="Times New Roman"/>
          <w:b w:val="0"/>
          <w:bCs w:val="0"/>
          <w:i w:val="0"/>
          <w:iCs w:val="0"/>
          <w:color w:val="0070C0"/>
          <w:sz w:val="20"/>
          <w:szCs w:val="20"/>
          <w:lang w:val="en-US" w:eastAsia="zh-CN"/>
        </w:rPr>
        <w:t>‘</w:t>
      </w:r>
      <w:r>
        <w:rPr>
          <w:rFonts w:hint="eastAsia"/>
          <w:b w:val="0"/>
          <w:bCs w:val="0"/>
          <w:i w:val="0"/>
          <w:iCs w:val="0"/>
          <w:color w:val="0070C0"/>
          <w:sz w:val="20"/>
          <w:szCs w:val="20"/>
          <w:highlight w:val="yellow"/>
          <w:lang w:val="en-US" w:eastAsia="zh-CN"/>
        </w:rPr>
        <w:t>on any serving frequency</w:t>
      </w:r>
      <w:r>
        <w:rPr>
          <w:rFonts w:hint="default" w:eastAsia="宋体" w:cs="Times New Roman"/>
          <w:b w:val="0"/>
          <w:bCs w:val="0"/>
          <w:i w:val="0"/>
          <w:iCs w:val="0"/>
          <w:color w:val="0070C0"/>
          <w:sz w:val="20"/>
          <w:szCs w:val="20"/>
          <w:lang w:val="en-US" w:eastAsia="zh-CN"/>
        </w:rPr>
        <w:t>’</w:t>
      </w:r>
      <w:r>
        <w:rPr>
          <w:rFonts w:hint="eastAsia" w:eastAsia="宋体" w:cs="Times New Roman"/>
          <w:b w:val="0"/>
          <w:bCs w:val="0"/>
          <w:i w:val="0"/>
          <w:iCs w:val="0"/>
          <w:color w:val="0070C0"/>
          <w:sz w:val="20"/>
          <w:szCs w:val="20"/>
          <w:lang w:val="en-US" w:eastAsia="zh-CN"/>
        </w:rPr>
        <w:t>?</w:t>
      </w:r>
    </w:p>
    <w:p w14:paraId="4A506383">
      <w:pPr>
        <w:pStyle w:val="150"/>
        <w:numPr>
          <w:ilvl w:val="1"/>
          <w:numId w:val="4"/>
        </w:numPr>
        <w:overflowPunct/>
        <w:autoSpaceDE/>
        <w:autoSpaceDN/>
        <w:adjustRightInd/>
        <w:spacing w:after="120"/>
        <w:ind w:left="1140" w:leftChars="0" w:firstLineChars="0"/>
        <w:textAlignment w:val="auto"/>
        <w:rPr>
          <w:rFonts w:hint="default" w:ascii="Times New Roman" w:hAnsi="Times New Roman" w:eastAsia="宋体" w:cs="Times New Roman"/>
          <w:b w:val="0"/>
          <w:bCs w:val="0"/>
          <w:i w:val="0"/>
          <w:iCs w:val="0"/>
          <w:color w:val="0070C0"/>
          <w:sz w:val="20"/>
          <w:szCs w:val="20"/>
          <w:lang w:eastAsia="zh-CN"/>
        </w:rPr>
      </w:pPr>
      <w:r>
        <w:rPr>
          <w:rFonts w:hint="eastAsia" w:eastAsia="宋体" w:cs="Times New Roman"/>
          <w:b w:val="0"/>
          <w:bCs w:val="0"/>
          <w:i w:val="0"/>
          <w:iCs w:val="0"/>
          <w:color w:val="0070C0"/>
          <w:sz w:val="20"/>
          <w:szCs w:val="20"/>
          <w:lang w:val="en-US" w:eastAsia="zh-CN"/>
        </w:rPr>
        <w:t>If Yes, could the three cases merged as following?</w:t>
      </w:r>
    </w:p>
    <w:p w14:paraId="298E6DDE">
      <w:pPr>
        <w:pStyle w:val="150"/>
        <w:numPr>
          <w:ilvl w:val="2"/>
          <w:numId w:val="4"/>
        </w:numPr>
        <w:overflowPunct/>
        <w:autoSpaceDE/>
        <w:autoSpaceDN/>
        <w:adjustRightInd/>
        <w:spacing w:after="120"/>
        <w:ind w:left="1860" w:leftChars="0" w:firstLineChars="0"/>
        <w:textAlignment w:val="auto"/>
        <w:rPr>
          <w:b w:val="0"/>
          <w:bCs w:val="0"/>
          <w:i w:val="0"/>
          <w:iCs w:val="0"/>
          <w:snapToGrid/>
          <w:color w:val="0070C0"/>
          <w:sz w:val="20"/>
          <w:szCs w:val="20"/>
        </w:rPr>
      </w:pPr>
      <w:r>
        <w:rPr>
          <w:rFonts w:hint="eastAsia" w:eastAsia="宋体" w:cs="Times New Roman"/>
          <w:b w:val="0"/>
          <w:bCs w:val="0"/>
          <w:i w:val="0"/>
          <w:iCs w:val="0"/>
          <w:color w:val="0070C0"/>
          <w:sz w:val="20"/>
          <w:szCs w:val="20"/>
          <w:lang w:val="en-US" w:eastAsia="zh-CN"/>
        </w:rPr>
        <w:t xml:space="preserve">For </w:t>
      </w:r>
      <w:r>
        <w:rPr>
          <w:b w:val="0"/>
          <w:bCs w:val="0"/>
          <w:i w:val="0"/>
          <w:iCs w:val="0"/>
          <w:color w:val="0070C0"/>
          <w:sz w:val="20"/>
          <w:szCs w:val="20"/>
          <w:lang w:eastAsia="zh-CN"/>
        </w:rPr>
        <w:t xml:space="preserve">UE </w:t>
      </w:r>
      <w:r>
        <w:rPr>
          <w:rFonts w:hint="eastAsia"/>
          <w:b w:val="0"/>
          <w:bCs w:val="0"/>
          <w:i w:val="0"/>
          <w:iCs w:val="0"/>
          <w:color w:val="0070C0"/>
          <w:sz w:val="20"/>
          <w:szCs w:val="20"/>
          <w:lang w:val="en-US" w:eastAsia="zh-CN"/>
        </w:rPr>
        <w:t>capable of [</w:t>
      </w:r>
      <w:r>
        <w:rPr>
          <w:b w:val="0"/>
          <w:bCs w:val="0"/>
          <w:i w:val="0"/>
          <w:iCs w:val="0"/>
          <w:color w:val="0070C0"/>
          <w:sz w:val="20"/>
          <w:szCs w:val="20"/>
        </w:rPr>
        <w:t>antennaArrayType-r1</w:t>
      </w:r>
      <w:r>
        <w:rPr>
          <w:rFonts w:hint="eastAsia" w:eastAsia="宋体"/>
          <w:b w:val="0"/>
          <w:bCs w:val="0"/>
          <w:i w:val="0"/>
          <w:iCs w:val="0"/>
          <w:color w:val="0070C0"/>
          <w:sz w:val="20"/>
          <w:szCs w:val="20"/>
          <w:lang w:val="en-US" w:eastAsia="zh-CN"/>
        </w:rPr>
        <w:t>8] on the measured carrier</w:t>
      </w:r>
    </w:p>
    <w:p w14:paraId="39661462">
      <w:pPr>
        <w:pStyle w:val="150"/>
        <w:numPr>
          <w:ilvl w:val="3"/>
          <w:numId w:val="4"/>
        </w:numPr>
        <w:overflowPunct/>
        <w:autoSpaceDE/>
        <w:autoSpaceDN/>
        <w:adjustRightInd/>
        <w:spacing w:after="120"/>
        <w:ind w:left="2280" w:leftChars="0" w:firstLineChars="0"/>
        <w:textAlignment w:val="auto"/>
        <w:rPr>
          <w:b w:val="0"/>
          <w:bCs w:val="0"/>
          <w:i w:val="0"/>
          <w:iCs w:val="0"/>
          <w:snapToGrid/>
          <w:color w:val="0070C0"/>
          <w:sz w:val="20"/>
          <w:szCs w:val="20"/>
        </w:rPr>
      </w:pPr>
      <w:r>
        <w:rPr>
          <w:b w:val="0"/>
          <w:bCs w:val="0"/>
          <w:i w:val="0"/>
          <w:iCs w:val="0"/>
          <w:color w:val="0070C0"/>
          <w:sz w:val="20"/>
          <w:szCs w:val="20"/>
          <w:lang w:eastAsia="en-GB"/>
        </w:rPr>
        <w:t>K</w:t>
      </w:r>
      <w:r>
        <w:rPr>
          <w:b w:val="0"/>
          <w:bCs w:val="0"/>
          <w:i w:val="0"/>
          <w:iCs w:val="0"/>
          <w:color w:val="0070C0"/>
          <w:sz w:val="20"/>
          <w:szCs w:val="20"/>
          <w:vertAlign w:val="subscript"/>
          <w:lang w:eastAsia="en-GB"/>
        </w:rPr>
        <w:t>layer1_measurement</w:t>
      </w:r>
      <w:r>
        <w:rPr>
          <w:b w:val="0"/>
          <w:bCs w:val="0"/>
          <w:i w:val="0"/>
          <w:iCs w:val="0"/>
          <w:color w:val="0070C0"/>
          <w:sz w:val="20"/>
          <w:szCs w:val="20"/>
          <w:lang w:eastAsia="en-GB"/>
        </w:rPr>
        <w:t xml:space="preserve">=1, </w:t>
      </w:r>
    </w:p>
    <w:p w14:paraId="37917123">
      <w:pPr>
        <w:numPr>
          <w:ilvl w:val="4"/>
          <w:numId w:val="4"/>
        </w:numPr>
        <w:snapToGrid w:val="0"/>
        <w:spacing w:after="120"/>
        <w:ind w:left="2700" w:leftChars="0"/>
        <w:rPr>
          <w:b w:val="0"/>
          <w:bCs w:val="0"/>
          <w:i w:val="0"/>
          <w:iCs w:val="0"/>
          <w:color w:val="0070C0"/>
          <w:sz w:val="20"/>
          <w:szCs w:val="20"/>
        </w:rPr>
      </w:pPr>
      <w:r>
        <w:rPr>
          <w:rFonts w:hint="eastAsia"/>
          <w:b w:val="0"/>
          <w:bCs w:val="0"/>
          <w:i w:val="0"/>
          <w:iCs w:val="0"/>
          <w:color w:val="0070C0"/>
          <w:sz w:val="20"/>
          <w:szCs w:val="20"/>
          <w:u w:val="single"/>
          <w:lang w:val="en-US" w:eastAsia="zh-CN"/>
        </w:rPr>
        <w:t>If</w:t>
      </w:r>
      <w:r>
        <w:rPr>
          <w:b w:val="0"/>
          <w:bCs w:val="0"/>
          <w:i w:val="0"/>
          <w:iCs w:val="0"/>
          <w:color w:val="0070C0"/>
          <w:sz w:val="20"/>
          <w:szCs w:val="20"/>
          <w:u w:val="single"/>
        </w:rPr>
        <w:t xml:space="preserve"> inter-band carrier aggregation within FR1 is configured [and UE doesn’t support capability of case 4]</w:t>
      </w:r>
    </w:p>
    <w:p w14:paraId="74A59AEA">
      <w:pPr>
        <w:numPr>
          <w:ilvl w:val="5"/>
          <w:numId w:val="4"/>
        </w:numPr>
        <w:snapToGrid w:val="0"/>
        <w:spacing w:after="120"/>
        <w:ind w:left="3120" w:leftChars="0"/>
        <w:rPr>
          <w:b w:val="0"/>
          <w:bCs w:val="0"/>
          <w:i w:val="0"/>
          <w:iCs w:val="0"/>
          <w:color w:val="0070C0"/>
          <w:sz w:val="20"/>
          <w:szCs w:val="20"/>
        </w:rPr>
      </w:pPr>
      <w:r>
        <w:rPr>
          <w:b w:val="0"/>
          <w:bCs w:val="0"/>
          <w:i w:val="0"/>
          <w:iCs w:val="0"/>
          <w:color w:val="0070C0"/>
          <w:sz w:val="20"/>
          <w:szCs w:val="20"/>
        </w:rPr>
        <w:t>if all of the reference signals configured for RLM, BFD, CBD or L1-RSRP for beam reporting</w:t>
      </w:r>
      <w:r>
        <w:rPr>
          <w:rFonts w:hint="eastAsia"/>
          <w:b w:val="0"/>
          <w:bCs w:val="0"/>
          <w:i w:val="0"/>
          <w:iCs w:val="0"/>
          <w:color w:val="0070C0"/>
          <w:sz w:val="20"/>
          <w:szCs w:val="20"/>
          <w:lang w:val="en-US" w:eastAsia="zh-CN"/>
        </w:rPr>
        <w:t xml:space="preserve"> </w:t>
      </w:r>
      <w:r>
        <w:rPr>
          <w:b w:val="0"/>
          <w:bCs w:val="0"/>
          <w:i w:val="0"/>
          <w:iCs w:val="0"/>
          <w:color w:val="0070C0"/>
          <w:sz w:val="20"/>
          <w:szCs w:val="20"/>
        </w:rPr>
        <w:t>outside measurement gap are not fully overlapped by intra-frequency SMTC occasions</w:t>
      </w:r>
      <w:r>
        <w:rPr>
          <w:rFonts w:hint="eastAsia"/>
          <w:b w:val="0"/>
          <w:bCs w:val="0"/>
          <w:i w:val="0"/>
          <w:iCs w:val="0"/>
          <w:color w:val="0070C0"/>
          <w:sz w:val="20"/>
          <w:szCs w:val="20"/>
          <w:highlight w:val="yellow"/>
          <w:lang w:val="en-US" w:eastAsia="zh-CN"/>
        </w:rPr>
        <w:t xml:space="preserve"> </w:t>
      </w:r>
      <w:r>
        <w:rPr>
          <w:rFonts w:hint="eastAsia"/>
          <w:b w:val="0"/>
          <w:bCs w:val="0"/>
          <w:i w:val="0"/>
          <w:iCs w:val="0"/>
          <w:color w:val="0070C0"/>
          <w:sz w:val="20"/>
          <w:szCs w:val="20"/>
          <w:highlight w:val="yellow"/>
          <w:u w:val="single"/>
          <w:lang w:val="en-US" w:eastAsia="zh-CN"/>
        </w:rPr>
        <w:t xml:space="preserve">of </w:t>
      </w:r>
      <w:r>
        <w:rPr>
          <w:b w:val="0"/>
          <w:bCs w:val="0"/>
          <w:i w:val="0"/>
          <w:iCs w:val="0"/>
          <w:color w:val="0070C0"/>
          <w:sz w:val="20"/>
          <w:szCs w:val="20"/>
          <w:highlight w:val="yellow"/>
          <w:u w:val="single"/>
        </w:rPr>
        <w:t>same serving cell</w:t>
      </w:r>
      <w:r>
        <w:rPr>
          <w:rFonts w:hint="eastAsia"/>
          <w:b w:val="0"/>
          <w:bCs w:val="0"/>
          <w:i w:val="0"/>
          <w:iCs w:val="0"/>
          <w:color w:val="0070C0"/>
          <w:sz w:val="20"/>
          <w:szCs w:val="20"/>
          <w:highlight w:val="yellow"/>
          <w:u w:val="single"/>
          <w:lang w:val="en-US" w:eastAsia="zh-CN"/>
        </w:rPr>
        <w:t xml:space="preserve"> </w:t>
      </w:r>
    </w:p>
    <w:p w14:paraId="12BBE198">
      <w:pPr>
        <w:numPr>
          <w:ilvl w:val="4"/>
          <w:numId w:val="4"/>
        </w:numPr>
        <w:snapToGrid w:val="0"/>
        <w:spacing w:after="120"/>
        <w:ind w:left="2700" w:leftChars="0"/>
        <w:rPr>
          <w:b w:val="0"/>
          <w:bCs w:val="0"/>
          <w:i w:val="0"/>
          <w:iCs w:val="0"/>
          <w:color w:val="0070C0"/>
          <w:sz w:val="20"/>
          <w:szCs w:val="20"/>
          <w:u w:val="single"/>
        </w:rPr>
      </w:pPr>
      <w:r>
        <w:rPr>
          <w:rFonts w:hint="eastAsia"/>
          <w:b w:val="0"/>
          <w:bCs w:val="0"/>
          <w:i w:val="0"/>
          <w:iCs w:val="0"/>
          <w:color w:val="0070C0"/>
          <w:sz w:val="20"/>
          <w:szCs w:val="20"/>
          <w:highlight w:val="none"/>
          <w:u w:val="single"/>
          <w:lang w:val="en-US" w:eastAsia="zh-CN"/>
        </w:rPr>
        <w:t xml:space="preserve">Otherwise, </w:t>
      </w:r>
    </w:p>
    <w:p w14:paraId="0405DA14">
      <w:pPr>
        <w:numPr>
          <w:ilvl w:val="5"/>
          <w:numId w:val="4"/>
        </w:numPr>
        <w:snapToGrid w:val="0"/>
        <w:spacing w:after="120"/>
        <w:ind w:left="3120" w:leftChars="0"/>
        <w:rPr>
          <w:b w:val="0"/>
          <w:bCs w:val="0"/>
          <w:i w:val="0"/>
          <w:iCs w:val="0"/>
          <w:color w:val="0070C0"/>
          <w:sz w:val="20"/>
          <w:szCs w:val="20"/>
        </w:rPr>
      </w:pPr>
      <w:r>
        <w:rPr>
          <w:b w:val="0"/>
          <w:bCs w:val="0"/>
          <w:i w:val="0"/>
          <w:iCs w:val="0"/>
          <w:color w:val="0070C0"/>
          <w:sz w:val="20"/>
          <w:szCs w:val="20"/>
        </w:rPr>
        <w:t xml:space="preserve">if all of the reference signals configured for RLM, BFD, CBD or L1-RSRP for beam reporting </w:t>
      </w:r>
      <w:r>
        <w:rPr>
          <w:rFonts w:hint="eastAsia"/>
          <w:b w:val="0"/>
          <w:bCs w:val="0"/>
          <w:i w:val="0"/>
          <w:iCs w:val="0"/>
          <w:strike/>
          <w:dstrike w:val="0"/>
          <w:color w:val="0070C0"/>
          <w:sz w:val="20"/>
          <w:szCs w:val="20"/>
          <w:highlight w:val="yellow"/>
          <w:lang w:val="en-US" w:eastAsia="zh-CN"/>
        </w:rPr>
        <w:t>on any serving frequency</w:t>
      </w:r>
      <w:r>
        <w:rPr>
          <w:rFonts w:hint="eastAsia"/>
          <w:b w:val="0"/>
          <w:bCs w:val="0"/>
          <w:i w:val="0"/>
          <w:iCs w:val="0"/>
          <w:strike/>
          <w:dstrike w:val="0"/>
          <w:color w:val="0070C0"/>
          <w:sz w:val="20"/>
          <w:szCs w:val="20"/>
          <w:lang w:val="en-US" w:eastAsia="zh-CN"/>
        </w:rPr>
        <w:t xml:space="preserve"> </w:t>
      </w:r>
      <w:r>
        <w:rPr>
          <w:b w:val="0"/>
          <w:bCs w:val="0"/>
          <w:i w:val="0"/>
          <w:iCs w:val="0"/>
          <w:color w:val="0070C0"/>
          <w:sz w:val="20"/>
          <w:szCs w:val="20"/>
        </w:rPr>
        <w:t>outside measurement gap are not fully overlapped by intra-frequency SMTC occasions</w:t>
      </w:r>
    </w:p>
    <w:p w14:paraId="524A74A5">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HW: Is common understanding, common Rx beam means same beam for both PCC and SCC, and L1 and L3 measurements?</w:t>
      </w:r>
    </w:p>
    <w:p w14:paraId="1F7DF9BB">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 xml:space="preserve">ZTE: If we check FR2 requirement, we can find the PCC and SCC for L1 and L3 only for the same band </w:t>
      </w:r>
    </w:p>
    <w:p w14:paraId="5E486E85">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 xml:space="preserve">HW: With one beam on PCC and SCC. </w:t>
      </w:r>
    </w:p>
    <w:p w14:paraId="6F60C09A">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ZTE： Fine with suggestion, if we follow this structure, we will combine R18 and R19. Another solution is separate R18 and R19</w:t>
      </w:r>
    </w:p>
    <w:p w14:paraId="67BC5665">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HW: Remove the highlight part of the otherwise paragraph</w:t>
      </w:r>
    </w:p>
    <w:p w14:paraId="3662CCAA">
      <w:pPr>
        <w:pStyle w:val="150"/>
        <w:overflowPunct/>
        <w:autoSpaceDE/>
        <w:autoSpaceDN/>
        <w:adjustRightInd/>
        <w:spacing w:after="120"/>
        <w:ind w:firstLine="0" w:firstLineChars="0"/>
        <w:textAlignment w:val="auto"/>
        <w:rPr>
          <w:rFonts w:hint="default" w:eastAsia="宋体"/>
          <w:b w:val="0"/>
          <w:bCs/>
          <w:color w:val="0070C0"/>
          <w:u w:val="none"/>
          <w:lang w:val="en-US" w:eastAsia="zh-CN"/>
        </w:rPr>
      </w:pPr>
      <w:r>
        <w:rPr>
          <w:rFonts w:hint="eastAsia" w:eastAsia="宋体"/>
          <w:b w:val="0"/>
          <w:bCs/>
          <w:color w:val="0070C0"/>
          <w:u w:val="none"/>
          <w:lang w:val="en-US" w:eastAsia="zh-CN"/>
        </w:rPr>
        <w:t>LGE: clarify the otherwise</w:t>
      </w:r>
      <w:r>
        <w:rPr>
          <w:rFonts w:hint="eastAsia"/>
          <w:b w:val="0"/>
          <w:bCs w:val="0"/>
          <w:i w:val="0"/>
          <w:iCs w:val="0"/>
          <w:color w:val="0070C0"/>
          <w:sz w:val="20"/>
          <w:szCs w:val="20"/>
          <w:highlight w:val="none"/>
          <w:u w:val="single"/>
          <w:lang w:val="en-US" w:eastAsia="zh-CN"/>
        </w:rPr>
        <w:t xml:space="preserve"> (single carrier, intra-band CA, inter-band CA Case#4)</w:t>
      </w:r>
    </w:p>
    <w:p w14:paraId="10ACE715">
      <w:pPr>
        <w:pStyle w:val="150"/>
        <w:overflowPunct/>
        <w:autoSpaceDE/>
        <w:autoSpaceDN/>
        <w:adjustRightInd/>
        <w:spacing w:after="120"/>
        <w:ind w:firstLine="0" w:firstLineChars="0"/>
        <w:textAlignment w:val="auto"/>
        <w:rPr>
          <w:rFonts w:hint="default" w:eastAsia="宋体"/>
          <w:b w:val="0"/>
          <w:bCs/>
          <w:color w:val="0070C0"/>
          <w:u w:val="none"/>
          <w:lang w:val="en-US" w:eastAsia="zh-CN"/>
        </w:rPr>
      </w:pPr>
      <w:r>
        <w:rPr>
          <w:rFonts w:hint="eastAsia" w:eastAsia="宋体"/>
          <w:b w:val="0"/>
          <w:bCs/>
          <w:color w:val="0070C0"/>
          <w:u w:val="none"/>
          <w:lang w:val="en-US" w:eastAsia="zh-CN"/>
        </w:rPr>
        <w:t>Option 1: merge</w:t>
      </w:r>
    </w:p>
    <w:p w14:paraId="434C661F">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Option 2: separate</w:t>
      </w:r>
    </w:p>
    <w:p w14:paraId="456250E3">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Agreement:</w:t>
      </w:r>
    </w:p>
    <w:p w14:paraId="6C6A56A2">
      <w:pPr>
        <w:pStyle w:val="150"/>
        <w:numPr>
          <w:ilvl w:val="2"/>
          <w:numId w:val="4"/>
        </w:numPr>
        <w:overflowPunct/>
        <w:autoSpaceDE/>
        <w:autoSpaceDN/>
        <w:adjustRightInd/>
        <w:spacing w:after="120"/>
        <w:ind w:left="1860" w:leftChars="0" w:firstLineChars="0"/>
        <w:textAlignment w:val="auto"/>
        <w:rPr>
          <w:b w:val="0"/>
          <w:bCs w:val="0"/>
          <w:i w:val="0"/>
          <w:iCs w:val="0"/>
          <w:snapToGrid/>
          <w:color w:val="0070C0"/>
          <w:sz w:val="20"/>
          <w:szCs w:val="20"/>
        </w:rPr>
      </w:pPr>
      <w:r>
        <w:rPr>
          <w:rFonts w:hint="eastAsia" w:eastAsia="宋体" w:cs="Times New Roman"/>
          <w:b w:val="0"/>
          <w:bCs w:val="0"/>
          <w:i w:val="0"/>
          <w:iCs w:val="0"/>
          <w:color w:val="0070C0"/>
          <w:sz w:val="20"/>
          <w:szCs w:val="20"/>
          <w:lang w:val="en-US" w:eastAsia="zh-CN"/>
        </w:rPr>
        <w:t xml:space="preserve">For </w:t>
      </w:r>
      <w:r>
        <w:rPr>
          <w:b w:val="0"/>
          <w:bCs w:val="0"/>
          <w:i w:val="0"/>
          <w:iCs w:val="0"/>
          <w:color w:val="0070C0"/>
          <w:sz w:val="20"/>
          <w:szCs w:val="20"/>
          <w:lang w:eastAsia="zh-CN"/>
        </w:rPr>
        <w:t xml:space="preserve">UE </w:t>
      </w:r>
      <w:r>
        <w:rPr>
          <w:rFonts w:hint="eastAsia"/>
          <w:b w:val="0"/>
          <w:bCs w:val="0"/>
          <w:i w:val="0"/>
          <w:iCs w:val="0"/>
          <w:color w:val="0070C0"/>
          <w:sz w:val="20"/>
          <w:szCs w:val="20"/>
          <w:lang w:val="en-US" w:eastAsia="zh-CN"/>
        </w:rPr>
        <w:t>capable of [</w:t>
      </w:r>
      <w:r>
        <w:rPr>
          <w:b w:val="0"/>
          <w:bCs w:val="0"/>
          <w:i w:val="0"/>
          <w:iCs w:val="0"/>
          <w:color w:val="0070C0"/>
          <w:sz w:val="20"/>
          <w:szCs w:val="20"/>
        </w:rPr>
        <w:t>antennaArrayType-r1</w:t>
      </w:r>
      <w:r>
        <w:rPr>
          <w:rFonts w:hint="eastAsia" w:eastAsia="宋体"/>
          <w:b w:val="0"/>
          <w:bCs w:val="0"/>
          <w:i w:val="0"/>
          <w:iCs w:val="0"/>
          <w:color w:val="0070C0"/>
          <w:sz w:val="20"/>
          <w:szCs w:val="20"/>
          <w:lang w:val="en-US" w:eastAsia="zh-CN"/>
        </w:rPr>
        <w:t>8] on the measured carrier</w:t>
      </w:r>
    </w:p>
    <w:p w14:paraId="5D010444">
      <w:pPr>
        <w:pStyle w:val="150"/>
        <w:numPr>
          <w:ilvl w:val="3"/>
          <w:numId w:val="4"/>
        </w:numPr>
        <w:overflowPunct/>
        <w:autoSpaceDE/>
        <w:autoSpaceDN/>
        <w:adjustRightInd/>
        <w:spacing w:after="120"/>
        <w:ind w:left="2280" w:leftChars="0" w:firstLineChars="0"/>
        <w:textAlignment w:val="auto"/>
        <w:rPr>
          <w:b w:val="0"/>
          <w:bCs w:val="0"/>
          <w:i w:val="0"/>
          <w:iCs w:val="0"/>
          <w:snapToGrid/>
          <w:color w:val="0070C0"/>
          <w:sz w:val="20"/>
          <w:szCs w:val="20"/>
        </w:rPr>
      </w:pPr>
      <w:r>
        <w:rPr>
          <w:b w:val="0"/>
          <w:bCs w:val="0"/>
          <w:i w:val="0"/>
          <w:iCs w:val="0"/>
          <w:color w:val="0070C0"/>
          <w:sz w:val="20"/>
          <w:szCs w:val="20"/>
          <w:lang w:eastAsia="en-GB"/>
        </w:rPr>
        <w:t>K</w:t>
      </w:r>
      <w:r>
        <w:rPr>
          <w:b w:val="0"/>
          <w:bCs w:val="0"/>
          <w:i w:val="0"/>
          <w:iCs w:val="0"/>
          <w:color w:val="0070C0"/>
          <w:sz w:val="20"/>
          <w:szCs w:val="20"/>
          <w:vertAlign w:val="subscript"/>
          <w:lang w:eastAsia="en-GB"/>
        </w:rPr>
        <w:t>layer1_measurement</w:t>
      </w:r>
      <w:r>
        <w:rPr>
          <w:b w:val="0"/>
          <w:bCs w:val="0"/>
          <w:i w:val="0"/>
          <w:iCs w:val="0"/>
          <w:color w:val="0070C0"/>
          <w:sz w:val="20"/>
          <w:szCs w:val="20"/>
          <w:lang w:eastAsia="en-GB"/>
        </w:rPr>
        <w:t xml:space="preserve">=1, </w:t>
      </w:r>
    </w:p>
    <w:p w14:paraId="77C51834">
      <w:pPr>
        <w:numPr>
          <w:ilvl w:val="4"/>
          <w:numId w:val="4"/>
        </w:numPr>
        <w:snapToGrid w:val="0"/>
        <w:spacing w:after="120"/>
        <w:ind w:left="2700" w:leftChars="0"/>
        <w:rPr>
          <w:b w:val="0"/>
          <w:bCs w:val="0"/>
          <w:i w:val="0"/>
          <w:iCs w:val="0"/>
          <w:color w:val="0070C0"/>
          <w:sz w:val="20"/>
          <w:szCs w:val="20"/>
        </w:rPr>
      </w:pPr>
      <w:r>
        <w:rPr>
          <w:rFonts w:hint="eastAsia"/>
          <w:b w:val="0"/>
          <w:bCs w:val="0"/>
          <w:i w:val="0"/>
          <w:iCs w:val="0"/>
          <w:color w:val="0070C0"/>
          <w:sz w:val="20"/>
          <w:szCs w:val="20"/>
          <w:u w:val="single"/>
          <w:lang w:val="en-US" w:eastAsia="zh-CN"/>
        </w:rPr>
        <w:t>If</w:t>
      </w:r>
      <w:r>
        <w:rPr>
          <w:b w:val="0"/>
          <w:bCs w:val="0"/>
          <w:i w:val="0"/>
          <w:iCs w:val="0"/>
          <w:color w:val="0070C0"/>
          <w:sz w:val="20"/>
          <w:szCs w:val="20"/>
          <w:u w:val="single"/>
        </w:rPr>
        <w:t xml:space="preserve"> inter-band carrier aggregation within FR1 is configured [and UE doesn’t support capability of case 4]</w:t>
      </w:r>
    </w:p>
    <w:p w14:paraId="474811EC">
      <w:pPr>
        <w:numPr>
          <w:ilvl w:val="5"/>
          <w:numId w:val="4"/>
        </w:numPr>
        <w:snapToGrid w:val="0"/>
        <w:spacing w:after="120"/>
        <w:ind w:left="3120" w:leftChars="0"/>
        <w:rPr>
          <w:b w:val="0"/>
          <w:bCs w:val="0"/>
          <w:i w:val="0"/>
          <w:iCs w:val="0"/>
          <w:color w:val="0070C0"/>
          <w:sz w:val="20"/>
          <w:szCs w:val="20"/>
        </w:rPr>
      </w:pPr>
      <w:r>
        <w:rPr>
          <w:b w:val="0"/>
          <w:bCs w:val="0"/>
          <w:i w:val="0"/>
          <w:iCs w:val="0"/>
          <w:color w:val="0070C0"/>
          <w:sz w:val="20"/>
          <w:szCs w:val="20"/>
        </w:rPr>
        <w:t>if all of the reference signals configured for RLM, BFD, CBD or L1-RSRP for beam reporting</w:t>
      </w:r>
      <w:r>
        <w:rPr>
          <w:rFonts w:hint="eastAsia"/>
          <w:b w:val="0"/>
          <w:bCs w:val="0"/>
          <w:i w:val="0"/>
          <w:iCs w:val="0"/>
          <w:color w:val="0070C0"/>
          <w:sz w:val="20"/>
          <w:szCs w:val="20"/>
          <w:lang w:val="en-US" w:eastAsia="zh-CN"/>
        </w:rPr>
        <w:t xml:space="preserve"> </w:t>
      </w:r>
      <w:r>
        <w:rPr>
          <w:b w:val="0"/>
          <w:bCs w:val="0"/>
          <w:i w:val="0"/>
          <w:iCs w:val="0"/>
          <w:color w:val="0070C0"/>
          <w:sz w:val="20"/>
          <w:szCs w:val="20"/>
        </w:rPr>
        <w:t>outside measurement gap are not fully overlapped by intra-frequency SMTC occasions</w:t>
      </w:r>
      <w:r>
        <w:rPr>
          <w:rFonts w:hint="eastAsia"/>
          <w:b w:val="0"/>
          <w:bCs w:val="0"/>
          <w:i w:val="0"/>
          <w:iCs w:val="0"/>
          <w:color w:val="0070C0"/>
          <w:sz w:val="20"/>
          <w:szCs w:val="20"/>
          <w:highlight w:val="yellow"/>
          <w:lang w:val="en-US" w:eastAsia="zh-CN"/>
        </w:rPr>
        <w:t xml:space="preserve"> </w:t>
      </w:r>
      <w:r>
        <w:rPr>
          <w:rFonts w:hint="eastAsia"/>
          <w:b w:val="0"/>
          <w:bCs w:val="0"/>
          <w:i w:val="0"/>
          <w:iCs w:val="0"/>
          <w:color w:val="0070C0"/>
          <w:sz w:val="20"/>
          <w:szCs w:val="20"/>
          <w:highlight w:val="yellow"/>
          <w:u w:val="single"/>
          <w:lang w:val="en-US" w:eastAsia="zh-CN"/>
        </w:rPr>
        <w:t xml:space="preserve">of </w:t>
      </w:r>
      <w:r>
        <w:rPr>
          <w:b w:val="0"/>
          <w:bCs w:val="0"/>
          <w:i w:val="0"/>
          <w:iCs w:val="0"/>
          <w:color w:val="0070C0"/>
          <w:sz w:val="20"/>
          <w:szCs w:val="20"/>
          <w:highlight w:val="yellow"/>
          <w:u w:val="single"/>
        </w:rPr>
        <w:t>same serving cell</w:t>
      </w:r>
      <w:r>
        <w:rPr>
          <w:rFonts w:hint="eastAsia"/>
          <w:b w:val="0"/>
          <w:bCs w:val="0"/>
          <w:i w:val="0"/>
          <w:iCs w:val="0"/>
          <w:color w:val="0070C0"/>
          <w:sz w:val="20"/>
          <w:szCs w:val="20"/>
          <w:highlight w:val="yellow"/>
          <w:u w:val="single"/>
          <w:lang w:val="en-US" w:eastAsia="zh-CN"/>
        </w:rPr>
        <w:t xml:space="preserve"> </w:t>
      </w:r>
    </w:p>
    <w:p w14:paraId="48370E7F">
      <w:pPr>
        <w:numPr>
          <w:ilvl w:val="4"/>
          <w:numId w:val="4"/>
        </w:numPr>
        <w:snapToGrid w:val="0"/>
        <w:spacing w:after="120"/>
        <w:ind w:left="2700" w:leftChars="0"/>
        <w:rPr>
          <w:b w:val="0"/>
          <w:bCs w:val="0"/>
          <w:i w:val="0"/>
          <w:iCs w:val="0"/>
          <w:color w:val="0070C0"/>
          <w:sz w:val="20"/>
          <w:szCs w:val="20"/>
          <w:u w:val="single"/>
        </w:rPr>
      </w:pPr>
      <w:r>
        <w:rPr>
          <w:rFonts w:hint="eastAsia"/>
          <w:b w:val="0"/>
          <w:bCs w:val="0"/>
          <w:i w:val="0"/>
          <w:iCs w:val="0"/>
          <w:color w:val="0070C0"/>
          <w:sz w:val="20"/>
          <w:szCs w:val="20"/>
          <w:highlight w:val="none"/>
          <w:u w:val="single"/>
          <w:lang w:val="en-US" w:eastAsia="zh-CN"/>
        </w:rPr>
        <w:t xml:space="preserve">Otherwise, </w:t>
      </w:r>
    </w:p>
    <w:p w14:paraId="166E57F7">
      <w:pPr>
        <w:numPr>
          <w:ilvl w:val="5"/>
          <w:numId w:val="4"/>
        </w:numPr>
        <w:snapToGrid w:val="0"/>
        <w:spacing w:after="120"/>
        <w:ind w:left="3120" w:leftChars="0"/>
        <w:rPr>
          <w:b w:val="0"/>
          <w:bCs w:val="0"/>
          <w:i w:val="0"/>
          <w:iCs w:val="0"/>
          <w:color w:val="0070C0"/>
          <w:sz w:val="20"/>
          <w:szCs w:val="20"/>
        </w:rPr>
      </w:pPr>
      <w:r>
        <w:rPr>
          <w:b w:val="0"/>
          <w:bCs w:val="0"/>
          <w:i w:val="0"/>
          <w:iCs w:val="0"/>
          <w:color w:val="0070C0"/>
          <w:sz w:val="20"/>
          <w:szCs w:val="20"/>
        </w:rPr>
        <w:t>if all of the reference signals configured for RLM, BFD, CBD or L1-RSRP for beam reporting outside measurement gap are not fully overlapped by intra-frequency SMTC occasions</w:t>
      </w:r>
    </w:p>
    <w:p w14:paraId="3958C91A">
      <w:pPr>
        <w:pStyle w:val="150"/>
        <w:overflowPunct/>
        <w:autoSpaceDE/>
        <w:autoSpaceDN/>
        <w:adjustRightInd/>
        <w:spacing w:after="120"/>
        <w:ind w:firstLine="0" w:firstLineChars="0"/>
        <w:textAlignment w:val="auto"/>
        <w:rPr>
          <w:rFonts w:hint="default" w:eastAsia="宋体"/>
          <w:b w:val="0"/>
          <w:bCs/>
          <w:color w:val="0070C0"/>
          <w:u w:val="none"/>
          <w:lang w:val="en-US" w:eastAsia="zh-CN"/>
        </w:rPr>
      </w:pPr>
    </w:p>
    <w:p w14:paraId="2203F957">
      <w:pPr>
        <w:pStyle w:val="150"/>
        <w:overflowPunct/>
        <w:autoSpaceDE/>
        <w:autoSpaceDN/>
        <w:adjustRightInd/>
        <w:spacing w:after="120"/>
        <w:ind w:firstLine="0" w:firstLineChars="0"/>
        <w:textAlignment w:val="auto"/>
        <w:rPr>
          <w:rFonts w:hint="eastAsia" w:eastAsia="宋体"/>
          <w:b/>
          <w:color w:val="0070C0"/>
          <w:u w:val="single"/>
          <w:lang w:val="en-US" w:eastAsia="zh-CN"/>
        </w:rPr>
      </w:pPr>
    </w:p>
    <w:p w14:paraId="78757FED">
      <w:pPr>
        <w:pStyle w:val="150"/>
        <w:overflowPunct/>
        <w:autoSpaceDE/>
        <w:autoSpaceDN/>
        <w:adjustRightInd/>
        <w:spacing w:after="120"/>
        <w:ind w:firstLine="0" w:firstLineChars="0"/>
        <w:textAlignment w:val="auto"/>
        <w:rPr>
          <w:rFonts w:hint="eastAsia" w:eastAsia="宋体"/>
          <w:b/>
          <w:color w:val="0070C0"/>
          <w:u w:val="single"/>
          <w:lang w:val="en-US" w:eastAsia="zh-CN"/>
        </w:rPr>
      </w:pPr>
    </w:p>
    <w:p w14:paraId="6F5ADD5A">
      <w:pPr>
        <w:pStyle w:val="150"/>
        <w:overflowPunct/>
        <w:autoSpaceDE/>
        <w:autoSpaceDN/>
        <w:adjustRightInd/>
        <w:spacing w:after="120"/>
        <w:ind w:firstLine="0" w:firstLineChars="0"/>
        <w:textAlignment w:val="auto"/>
        <w:rPr>
          <w:rFonts w:hint="default" w:eastAsia="宋体"/>
          <w:b/>
          <w:color w:val="0070C0"/>
          <w:u w:val="single"/>
          <w:lang w:val="en-US" w:eastAsia="ko-KR"/>
        </w:rPr>
      </w:pPr>
      <w:r>
        <w:rPr>
          <w:rFonts w:hint="eastAsia" w:eastAsia="宋体"/>
          <w:b/>
          <w:color w:val="0070C0"/>
          <w:u w:val="single"/>
          <w:lang w:val="en-US" w:eastAsia="zh-CN"/>
        </w:rPr>
        <w:t>Issue 1-3-2: Sharing factor between L1 measurement and RRM measurement - effective non-overlapping duration</w:t>
      </w:r>
    </w:p>
    <w:p w14:paraId="1E1BBB71">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51505C1B">
      <w:pPr>
        <w:pStyle w:val="150"/>
        <w:numPr>
          <w:ilvl w:val="1"/>
          <w:numId w:val="4"/>
        </w:numPr>
        <w:overflowPunct/>
        <w:autoSpaceDE/>
        <w:autoSpaceDN/>
        <w:adjustRightInd/>
        <w:spacing w:after="120"/>
        <w:ind w:left="1440" w:firstLineChars="0"/>
        <w:textAlignment w:val="auto"/>
        <w:rPr>
          <w:rFonts w:eastAsiaTheme="minorEastAsia"/>
          <w:bCs/>
          <w:color w:val="0070C0"/>
          <w:sz w:val="20"/>
          <w:szCs w:val="20"/>
          <w:lang w:eastAsia="ko-KR" w:bidi="ar"/>
        </w:rPr>
      </w:pPr>
      <w:r>
        <w:rPr>
          <w:rFonts w:hint="eastAsia" w:eastAsiaTheme="minorEastAsia"/>
          <w:color w:val="0070C0"/>
          <w:sz w:val="20"/>
          <w:szCs w:val="20"/>
          <w:lang w:val="en-US" w:eastAsia="zh-CN"/>
        </w:rPr>
        <w:t xml:space="preserve">Proposal 1: For the </w:t>
      </w:r>
      <w:r>
        <w:rPr>
          <w:rFonts w:hint="default" w:eastAsiaTheme="minorEastAsia"/>
          <w:color w:val="0070C0"/>
          <w:sz w:val="20"/>
          <w:szCs w:val="20"/>
          <w:lang w:val="en-US" w:eastAsia="zh-CN"/>
        </w:rPr>
        <w:t>‘</w:t>
      </w:r>
      <w:r>
        <w:rPr>
          <w:color w:val="0070C0"/>
          <w:sz w:val="20"/>
          <w:szCs w:val="20"/>
        </w:rPr>
        <w:t>SSB-ToMeasure and SS-RSSI-Measurement are configured</w:t>
      </w:r>
      <w:r>
        <w:rPr>
          <w:rFonts w:hint="default" w:eastAsiaTheme="minorEastAsia"/>
          <w:color w:val="0070C0"/>
          <w:sz w:val="20"/>
          <w:szCs w:val="20"/>
          <w:lang w:val="en-US" w:eastAsia="zh-CN"/>
        </w:rPr>
        <w:t>’</w:t>
      </w:r>
      <w:r>
        <w:rPr>
          <w:rFonts w:hint="eastAsia" w:eastAsiaTheme="minorEastAsia"/>
          <w:color w:val="0070C0"/>
          <w:sz w:val="20"/>
          <w:szCs w:val="20"/>
          <w:lang w:val="en-US" w:eastAsia="zh-CN"/>
        </w:rPr>
        <w:t>, use MRTD as the reference when calculate the margin for non-overlapping duration (LGE, ZTE)</w:t>
      </w:r>
    </w:p>
    <w:p w14:paraId="30BC274E">
      <w:pPr>
        <w:pStyle w:val="150"/>
        <w:numPr>
          <w:ilvl w:val="2"/>
          <w:numId w:val="4"/>
        </w:numPr>
        <w:overflowPunct/>
        <w:autoSpaceDE/>
        <w:autoSpaceDN/>
        <w:adjustRightInd/>
        <w:spacing w:after="120"/>
        <w:ind w:left="1860" w:leftChars="0" w:firstLineChars="0"/>
        <w:textAlignment w:val="auto"/>
        <w:rPr>
          <w:rFonts w:eastAsiaTheme="minorEastAsia"/>
          <w:bCs/>
          <w:color w:val="0070C0"/>
          <w:sz w:val="20"/>
          <w:szCs w:val="20"/>
          <w:lang w:eastAsia="ko-KR" w:bidi="ar"/>
        </w:rPr>
      </w:pPr>
      <w:r>
        <w:rPr>
          <w:rFonts w:hint="eastAsia" w:eastAsiaTheme="minorEastAsia"/>
          <w:color w:val="0070C0"/>
          <w:sz w:val="20"/>
          <w:szCs w:val="20"/>
          <w:lang w:val="en-US" w:eastAsia="zh-CN"/>
        </w:rPr>
        <w:t>Proposal 1-1: (LGE)</w:t>
      </w:r>
    </w:p>
    <w:p w14:paraId="5BCCDDA0">
      <w:pPr>
        <w:pStyle w:val="150"/>
        <w:numPr>
          <w:ilvl w:val="3"/>
          <w:numId w:val="4"/>
        </w:numPr>
        <w:overflowPunct/>
        <w:autoSpaceDE/>
        <w:autoSpaceDN/>
        <w:adjustRightInd/>
        <w:spacing w:after="120"/>
        <w:ind w:left="2280" w:leftChars="0" w:firstLineChars="0"/>
        <w:textAlignment w:val="auto"/>
        <w:rPr>
          <w:rFonts w:eastAsiaTheme="minorEastAsia"/>
          <w:bCs/>
          <w:color w:val="0070C0"/>
          <w:sz w:val="20"/>
          <w:szCs w:val="20"/>
          <w:lang w:eastAsia="ko-KR" w:bidi="ar"/>
        </w:rPr>
      </w:pPr>
      <w:r>
        <w:rPr>
          <w:rFonts w:hint="eastAsia"/>
          <w:color w:val="0070C0"/>
          <w:sz w:val="20"/>
          <w:szCs w:val="20"/>
          <w:lang w:eastAsia="ko-KR"/>
        </w:rPr>
        <w:t xml:space="preserve">Consider impact on </w:t>
      </w:r>
      <w:r>
        <w:rPr>
          <w:color w:val="0070C0"/>
          <w:sz w:val="20"/>
          <w:szCs w:val="20"/>
        </w:rPr>
        <w:t>K</w:t>
      </w:r>
      <w:r>
        <w:rPr>
          <w:color w:val="0070C0"/>
          <w:sz w:val="20"/>
          <w:szCs w:val="20"/>
          <w:vertAlign w:val="subscript"/>
        </w:rPr>
        <w:t>layer1_measurement</w:t>
      </w:r>
      <w:r>
        <w:rPr>
          <w:rFonts w:hint="eastAsia"/>
          <w:color w:val="0070C0"/>
          <w:sz w:val="20"/>
          <w:szCs w:val="20"/>
          <w:lang w:eastAsia="ko-KR"/>
        </w:rPr>
        <w:t xml:space="preserve"> due to 33usec MRTD for Case 4 antenna type, e.g., </w:t>
      </w:r>
    </w:p>
    <w:p w14:paraId="4A32B8A9">
      <w:pPr>
        <w:pStyle w:val="150"/>
        <w:numPr>
          <w:ilvl w:val="4"/>
          <w:numId w:val="4"/>
        </w:numPr>
        <w:overflowPunct/>
        <w:autoSpaceDE/>
        <w:autoSpaceDN/>
        <w:adjustRightInd/>
        <w:spacing w:after="120"/>
        <w:ind w:left="2700" w:leftChars="0" w:firstLineChars="0"/>
        <w:textAlignment w:val="auto"/>
        <w:rPr>
          <w:rFonts w:eastAsiaTheme="minorEastAsia"/>
          <w:bCs/>
          <w:color w:val="0070C0"/>
          <w:sz w:val="20"/>
          <w:szCs w:val="20"/>
          <w:lang w:eastAsia="ko-KR" w:bidi="ar"/>
        </w:rPr>
      </w:pPr>
      <w:r>
        <w:rPr>
          <w:color w:val="0070C0"/>
          <w:sz w:val="20"/>
          <w:szCs w:val="20"/>
        </w:rPr>
        <w:t xml:space="preserve">if all of the reference signal configured for RLM, BFD, CBD or L1-RSRP for beam reporting outside measurement gap and fully-overlapped by intra-frequency SMTC occasions are not overlapped with any of the SSB symbols and the RSSI symbols, and </w:t>
      </w:r>
      <w:r>
        <w:rPr>
          <w:rFonts w:hint="eastAsia"/>
          <w:color w:val="0070C0"/>
          <w:sz w:val="20"/>
          <w:szCs w:val="20"/>
          <w:highlight w:val="yellow"/>
          <w:lang w:eastAsia="ko-KR"/>
        </w:rPr>
        <w:t>2</w:t>
      </w:r>
      <w:r>
        <w:rPr>
          <w:color w:val="0070C0"/>
          <w:sz w:val="20"/>
          <w:szCs w:val="20"/>
          <w:highlight w:val="yellow"/>
        </w:rPr>
        <w:t xml:space="preserve"> symbol</w:t>
      </w:r>
      <w:r>
        <w:rPr>
          <w:color w:val="0070C0"/>
          <w:sz w:val="20"/>
          <w:szCs w:val="20"/>
        </w:rPr>
        <w:t xml:space="preserve"> before each consecutive SSB symbols and the RSSI symbols, and </w:t>
      </w:r>
      <w:r>
        <w:rPr>
          <w:rFonts w:hint="eastAsia"/>
          <w:color w:val="0070C0"/>
          <w:sz w:val="20"/>
          <w:szCs w:val="20"/>
          <w:highlight w:val="yellow"/>
          <w:lang w:eastAsia="ko-KR"/>
        </w:rPr>
        <w:t>2</w:t>
      </w:r>
      <w:r>
        <w:rPr>
          <w:color w:val="0070C0"/>
          <w:sz w:val="20"/>
          <w:szCs w:val="20"/>
          <w:highlight w:val="yellow"/>
        </w:rPr>
        <w:t xml:space="preserve"> symbol</w:t>
      </w:r>
      <w:r>
        <w:rPr>
          <w:color w:val="0070C0"/>
          <w:sz w:val="20"/>
          <w:szCs w:val="20"/>
        </w:rPr>
        <w:t xml:space="preserve"> after each consecutive SSB symbols and the RSSI symbols </w:t>
      </w:r>
      <w:r>
        <w:rPr>
          <w:rFonts w:hint="eastAsia"/>
          <w:color w:val="0070C0"/>
          <w:sz w:val="20"/>
          <w:szCs w:val="20"/>
          <w:highlight w:val="yellow"/>
          <w:lang w:eastAsia="ko-KR"/>
        </w:rPr>
        <w:t>of</w:t>
      </w:r>
      <w:r>
        <w:rPr>
          <w:color w:val="0070C0"/>
          <w:sz w:val="20"/>
          <w:szCs w:val="20"/>
          <w:highlight w:val="yellow"/>
        </w:rPr>
        <w:t xml:space="preserve"> serving cell</w:t>
      </w:r>
      <w:r>
        <w:rPr>
          <w:rFonts w:hint="eastAsia"/>
          <w:color w:val="0070C0"/>
          <w:sz w:val="20"/>
          <w:szCs w:val="20"/>
          <w:highlight w:val="yellow"/>
          <w:lang w:eastAsia="ko-KR"/>
        </w:rPr>
        <w:t>s</w:t>
      </w:r>
      <w:r>
        <w:rPr>
          <w:color w:val="0070C0"/>
          <w:sz w:val="20"/>
          <w:szCs w:val="20"/>
          <w:highlight w:val="yellow"/>
        </w:rPr>
        <w:t xml:space="preserve"> when inter-band carrier aggregation within FR1 is configured and UE support</w:t>
      </w:r>
      <w:r>
        <w:rPr>
          <w:rFonts w:hint="eastAsia"/>
          <w:color w:val="0070C0"/>
          <w:sz w:val="20"/>
          <w:szCs w:val="20"/>
          <w:highlight w:val="yellow"/>
          <w:lang w:eastAsia="ko-KR"/>
        </w:rPr>
        <w:t>s</w:t>
      </w:r>
      <w:r>
        <w:rPr>
          <w:color w:val="0070C0"/>
          <w:sz w:val="20"/>
          <w:szCs w:val="20"/>
          <w:highlight w:val="yellow"/>
        </w:rPr>
        <w:t xml:space="preserve"> </w:t>
      </w:r>
      <w:r>
        <w:rPr>
          <w:rFonts w:hint="eastAsia"/>
          <w:color w:val="0070C0"/>
          <w:sz w:val="20"/>
          <w:szCs w:val="20"/>
          <w:highlight w:val="yellow"/>
          <w:lang w:eastAsia="ko-KR"/>
        </w:rPr>
        <w:t>[</w:t>
      </w:r>
      <w:r>
        <w:rPr>
          <w:color w:val="0070C0"/>
          <w:sz w:val="20"/>
          <w:szCs w:val="20"/>
          <w:highlight w:val="yellow"/>
        </w:rPr>
        <w:t>capability of case 4]</w:t>
      </w:r>
      <w:r>
        <w:rPr>
          <w:color w:val="0070C0"/>
          <w:sz w:val="20"/>
          <w:szCs w:val="20"/>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1C61C297">
      <w:pPr>
        <w:pStyle w:val="150"/>
        <w:numPr>
          <w:ilvl w:val="2"/>
          <w:numId w:val="4"/>
        </w:numPr>
        <w:overflowPunct/>
        <w:autoSpaceDE/>
        <w:autoSpaceDN/>
        <w:adjustRightInd/>
        <w:spacing w:after="120"/>
        <w:ind w:left="1860" w:leftChars="0" w:firstLineChars="0"/>
        <w:textAlignment w:val="auto"/>
        <w:rPr>
          <w:rFonts w:eastAsiaTheme="minorEastAsia"/>
          <w:bCs/>
          <w:color w:val="0070C0"/>
          <w:sz w:val="20"/>
          <w:szCs w:val="20"/>
          <w:lang w:eastAsia="ko-KR" w:bidi="ar"/>
        </w:rPr>
      </w:pPr>
      <w:r>
        <w:rPr>
          <w:rFonts w:hint="eastAsia" w:eastAsiaTheme="minorEastAsia"/>
          <w:bCs/>
          <w:color w:val="0070C0"/>
          <w:sz w:val="20"/>
          <w:szCs w:val="20"/>
          <w:lang w:val="en-US" w:eastAsia="zh-CN" w:bidi="ar"/>
        </w:rPr>
        <w:t>Proposal 1-2: (ZTE)</w:t>
      </w:r>
    </w:p>
    <w:p w14:paraId="2AA496D1">
      <w:pPr>
        <w:pStyle w:val="150"/>
        <w:numPr>
          <w:ilvl w:val="3"/>
          <w:numId w:val="4"/>
        </w:numPr>
        <w:overflowPunct/>
        <w:autoSpaceDE/>
        <w:autoSpaceDN/>
        <w:adjustRightInd/>
        <w:spacing w:after="120"/>
        <w:ind w:left="2280" w:leftChars="0" w:firstLineChars="0"/>
        <w:textAlignment w:val="auto"/>
        <w:rPr>
          <w:i w:val="0"/>
          <w:iCs w:val="0"/>
          <w:color w:val="0070C0"/>
          <w:lang w:eastAsia="zh-CN"/>
        </w:rPr>
      </w:pPr>
      <w:r>
        <w:rPr>
          <w:i w:val="0"/>
          <w:iCs w:val="0"/>
          <w:color w:val="0070C0"/>
          <w:lang w:eastAsia="zh-CN"/>
        </w:rPr>
        <w:t xml:space="preserve">For UE </w:t>
      </w:r>
      <w:r>
        <w:rPr>
          <w:rFonts w:hint="eastAsia"/>
          <w:i w:val="0"/>
          <w:iCs w:val="0"/>
          <w:color w:val="0070C0"/>
          <w:lang w:val="en-US" w:eastAsia="zh-CN"/>
        </w:rPr>
        <w:t>capable of [</w:t>
      </w:r>
      <w:r>
        <w:rPr>
          <w:i w:val="0"/>
          <w:iCs w:val="0"/>
          <w:color w:val="0070C0"/>
        </w:rPr>
        <w:t>antennaArrayType-r1</w:t>
      </w:r>
      <w:r>
        <w:rPr>
          <w:rFonts w:hint="eastAsia" w:eastAsia="宋体"/>
          <w:i w:val="0"/>
          <w:iCs w:val="0"/>
          <w:color w:val="0070C0"/>
          <w:lang w:val="en-US" w:eastAsia="zh-CN"/>
        </w:rPr>
        <w:t>8] and [</w:t>
      </w:r>
      <w:r>
        <w:rPr>
          <w:i w:val="0"/>
          <w:iCs w:val="0"/>
          <w:color w:val="0070C0"/>
        </w:rPr>
        <w:t>intra-band</w:t>
      </w:r>
      <w:r>
        <w:rPr>
          <w:rFonts w:hint="eastAsia" w:eastAsia="宋体"/>
          <w:i w:val="0"/>
          <w:iCs w:val="0"/>
          <w:color w:val="0070C0"/>
          <w:lang w:val="en-US" w:eastAsia="zh-CN"/>
        </w:rPr>
        <w:t xml:space="preserve"> or inter-band</w:t>
      </w:r>
      <w:r>
        <w:rPr>
          <w:i w:val="0"/>
          <w:iCs w:val="0"/>
          <w:color w:val="0070C0"/>
        </w:rPr>
        <w:t xml:space="preserve"> carrier aggregation is </w:t>
      </w:r>
      <w:r>
        <w:rPr>
          <w:rFonts w:hint="eastAsia" w:eastAsia="宋体"/>
          <w:i w:val="0"/>
          <w:iCs w:val="0"/>
          <w:color w:val="0070C0"/>
          <w:lang w:val="en-US" w:eastAsia="zh-CN"/>
        </w:rPr>
        <w:t>configured]</w:t>
      </w:r>
      <w:r>
        <w:rPr>
          <w:i w:val="0"/>
          <w:iCs w:val="0"/>
          <w:color w:val="0070C0"/>
          <w:lang w:eastAsia="zh-CN"/>
        </w:rPr>
        <w:t>,</w:t>
      </w:r>
    </w:p>
    <w:p w14:paraId="3B9333F7">
      <w:pPr>
        <w:pStyle w:val="150"/>
        <w:numPr>
          <w:ilvl w:val="4"/>
          <w:numId w:val="4"/>
        </w:numPr>
        <w:overflowPunct/>
        <w:autoSpaceDE/>
        <w:autoSpaceDN/>
        <w:adjustRightInd/>
        <w:spacing w:after="120"/>
        <w:ind w:left="2700" w:leftChars="0" w:firstLineChars="0"/>
        <w:textAlignment w:val="auto"/>
        <w:rPr>
          <w:i w:val="0"/>
          <w:iCs w:val="0"/>
          <w:color w:val="0070C0"/>
          <w:lang w:eastAsia="zh-CN"/>
        </w:rPr>
      </w:pPr>
      <w:r>
        <w:rPr>
          <w:i w:val="0"/>
          <w:iCs w:val="0"/>
          <w:color w:val="0070C0"/>
        </w:rPr>
        <w:t>K</w:t>
      </w:r>
      <w:r>
        <w:rPr>
          <w:i w:val="0"/>
          <w:iCs w:val="0"/>
          <w:color w:val="0070C0"/>
          <w:vertAlign w:val="subscript"/>
        </w:rPr>
        <w:t>layer1_measurement</w:t>
      </w:r>
      <w:r>
        <w:rPr>
          <w:i w:val="0"/>
          <w:iCs w:val="0"/>
          <w:color w:val="0070C0"/>
        </w:rPr>
        <w:t xml:space="preserve">=1, </w:t>
      </w:r>
    </w:p>
    <w:p w14:paraId="3C1B510F">
      <w:pPr>
        <w:pStyle w:val="150"/>
        <w:numPr>
          <w:ilvl w:val="5"/>
          <w:numId w:val="4"/>
        </w:numPr>
        <w:overflowPunct/>
        <w:autoSpaceDE/>
        <w:autoSpaceDN/>
        <w:adjustRightInd/>
        <w:spacing w:after="120"/>
        <w:ind w:left="3120" w:leftChars="0" w:firstLineChars="0"/>
        <w:textAlignment w:val="auto"/>
        <w:rPr>
          <w:i w:val="0"/>
          <w:iCs w:val="0"/>
          <w:color w:val="0070C0"/>
        </w:rPr>
      </w:pPr>
      <w:r>
        <w:rPr>
          <w:i w:val="0"/>
          <w:iCs w:val="0"/>
          <w:color w:val="0070C0"/>
        </w:rPr>
        <w:t>-</w:t>
      </w:r>
      <w:r>
        <w:rPr>
          <w:i w:val="0"/>
          <w:iCs w:val="0"/>
          <w:color w:val="0070C0"/>
        </w:rPr>
        <w:tab/>
      </w:r>
      <w:r>
        <w:rPr>
          <w:i w:val="0"/>
          <w:iCs w:val="0"/>
          <w:color w:val="0070C0"/>
        </w:rPr>
        <w:t xml:space="preserve">if all of the reference signal configured for RLM, BFD, CBD or L1-RSRP for beam reporting </w:t>
      </w:r>
      <w:r>
        <w:rPr>
          <w:rFonts w:hint="eastAsia"/>
          <w:i w:val="0"/>
          <w:iCs w:val="0"/>
          <w:color w:val="0070C0"/>
          <w:highlight w:val="yellow"/>
          <w:lang w:val="en-US" w:eastAsia="zh-CN"/>
        </w:rPr>
        <w:t xml:space="preserve">on any serving frequency in the same band </w:t>
      </w:r>
      <w:r>
        <w:rPr>
          <w:i w:val="0"/>
          <w:iCs w:val="0"/>
          <w:color w:val="0070C0"/>
        </w:rPr>
        <w:t xml:space="preserve">outside measurement gap and fully-overlapped by intra-frequency SMTC occasions are not overlapped with any of the SSB symbols and the RSSI symbols, and </w:t>
      </w:r>
      <w:r>
        <w:rPr>
          <w:i w:val="0"/>
          <w:iCs w:val="0"/>
          <w:color w:val="0070C0"/>
          <w:highlight w:val="yellow"/>
        </w:rPr>
        <w:t>1</w:t>
      </w:r>
      <w:r>
        <w:rPr>
          <w:i w:val="0"/>
          <w:iCs w:val="0"/>
          <w:color w:val="0070C0"/>
        </w:rPr>
        <w:t xml:space="preserve"> symbol before each consecutive SSB symbols and the RSSI symbols, and </w:t>
      </w:r>
      <w:r>
        <w:rPr>
          <w:i w:val="0"/>
          <w:iCs w:val="0"/>
          <w:color w:val="0070C0"/>
          <w:highlight w:val="yellow"/>
        </w:rPr>
        <w:t>1</w:t>
      </w:r>
      <w:r>
        <w:rPr>
          <w:i w:val="0"/>
          <w:iCs w:val="0"/>
          <w:color w:val="0070C0"/>
        </w:rPr>
        <w:t xml:space="preserve">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w:t>
      </w:r>
      <w:r>
        <w:rPr>
          <w:rFonts w:hint="eastAsia"/>
          <w:i w:val="0"/>
          <w:iCs w:val="0"/>
          <w:color w:val="0070C0"/>
          <w:lang w:val="en-US" w:eastAsia="zh-CN"/>
        </w:rPr>
        <w:t>, or</w:t>
      </w:r>
      <w:r>
        <w:rPr>
          <w:i w:val="0"/>
          <w:iCs w:val="0"/>
          <w:color w:val="0070C0"/>
        </w:rPr>
        <w:t>;</w:t>
      </w:r>
    </w:p>
    <w:p w14:paraId="262073F6">
      <w:pPr>
        <w:pStyle w:val="150"/>
        <w:numPr>
          <w:ilvl w:val="5"/>
          <w:numId w:val="4"/>
        </w:numPr>
        <w:overflowPunct/>
        <w:autoSpaceDE/>
        <w:autoSpaceDN/>
        <w:adjustRightInd/>
        <w:spacing w:after="120"/>
        <w:ind w:left="3120" w:leftChars="0" w:firstLineChars="0"/>
        <w:textAlignment w:val="auto"/>
        <w:rPr>
          <w:i w:val="0"/>
          <w:iCs w:val="0"/>
          <w:color w:val="0070C0"/>
        </w:rPr>
      </w:pPr>
      <w:r>
        <w:rPr>
          <w:i w:val="0"/>
          <w:iCs w:val="0"/>
          <w:color w:val="0070C0"/>
        </w:rPr>
        <w:t>-</w:t>
      </w:r>
      <w:r>
        <w:rPr>
          <w:i w:val="0"/>
          <w:iCs w:val="0"/>
          <w:color w:val="0070C0"/>
        </w:rPr>
        <w:tab/>
      </w:r>
      <w:r>
        <w:rPr>
          <w:i w:val="0"/>
          <w:iCs w:val="0"/>
          <w:color w:val="0070C0"/>
        </w:rPr>
        <w:t xml:space="preserve">if all of the reference signal configured for RLM, BFD, CBD or L1-RSRP for beam reporting </w:t>
      </w:r>
      <w:r>
        <w:rPr>
          <w:rFonts w:hint="eastAsia"/>
          <w:i w:val="0"/>
          <w:iCs w:val="0"/>
          <w:color w:val="0070C0"/>
          <w:highlight w:val="yellow"/>
          <w:lang w:val="en-US" w:eastAsia="zh-CN"/>
        </w:rPr>
        <w:t xml:space="preserve">on any serving frequency in different band </w:t>
      </w:r>
      <w:r>
        <w:rPr>
          <w:i w:val="0"/>
          <w:iCs w:val="0"/>
          <w:color w:val="0070C0"/>
        </w:rPr>
        <w:t xml:space="preserve">outside measurement gap and fully-overlapped by intra-frequency SMTC occasions are not overlapped with any of the SSB symbols and the RSSI symbols, and </w:t>
      </w:r>
      <w:r>
        <w:rPr>
          <w:rFonts w:hint="eastAsia"/>
          <w:i w:val="0"/>
          <w:iCs w:val="0"/>
          <w:color w:val="0070C0"/>
          <w:highlight w:val="yellow"/>
          <w:lang w:val="en-US" w:eastAsia="zh-CN"/>
        </w:rPr>
        <w:t>2</w:t>
      </w:r>
      <w:r>
        <w:rPr>
          <w:i w:val="0"/>
          <w:iCs w:val="0"/>
          <w:color w:val="0070C0"/>
        </w:rPr>
        <w:t xml:space="preserve"> symbol</w:t>
      </w:r>
      <w:r>
        <w:rPr>
          <w:rFonts w:hint="eastAsia"/>
          <w:i w:val="0"/>
          <w:iCs w:val="0"/>
          <w:color w:val="0070C0"/>
          <w:highlight w:val="yellow"/>
          <w:lang w:val="en-US" w:eastAsia="zh-CN"/>
        </w:rPr>
        <w:t>s</w:t>
      </w:r>
      <w:r>
        <w:rPr>
          <w:i w:val="0"/>
          <w:iCs w:val="0"/>
          <w:color w:val="0070C0"/>
        </w:rPr>
        <w:t xml:space="preserve"> before each consecutive SSB symbols and the RSSI symbols, and </w:t>
      </w:r>
      <w:r>
        <w:rPr>
          <w:rFonts w:hint="eastAsia"/>
          <w:i w:val="0"/>
          <w:iCs w:val="0"/>
          <w:color w:val="0070C0"/>
          <w:highlight w:val="yellow"/>
          <w:lang w:val="en-US" w:eastAsia="zh-CN"/>
        </w:rPr>
        <w:t>2</w:t>
      </w:r>
      <w:r>
        <w:rPr>
          <w:i w:val="0"/>
          <w:iCs w:val="0"/>
          <w:color w:val="0070C0"/>
        </w:rPr>
        <w:t xml:space="preserve"> symbol</w:t>
      </w:r>
      <w:r>
        <w:rPr>
          <w:rFonts w:hint="eastAsia"/>
          <w:i w:val="0"/>
          <w:iCs w:val="0"/>
          <w:color w:val="0070C0"/>
          <w:highlight w:val="yellow"/>
          <w:lang w:val="en-US" w:eastAsia="zh-CN"/>
        </w:rPr>
        <w:t>s</w:t>
      </w:r>
      <w:r>
        <w:rPr>
          <w:i w:val="0"/>
          <w:iCs w:val="0"/>
          <w:color w:val="0070C0"/>
        </w:rPr>
        <w:t xml:space="preserve"> after each consecutive SSB symbols and the RSSI symbols, given that SSB-ToMeasure and SS-RSSI-Measurement are configured</w:t>
      </w:r>
      <w:r>
        <w:rPr>
          <w:rFonts w:hint="eastAsia"/>
          <w:i w:val="0"/>
          <w:iCs w:val="0"/>
          <w:color w:val="0070C0"/>
          <w:lang w:val="en-US" w:eastAsia="zh-CN"/>
        </w:rPr>
        <w:t xml:space="preserve"> </w:t>
      </w:r>
      <w:r>
        <w:rPr>
          <w:rFonts w:hint="eastAsia"/>
          <w:i w:val="0"/>
          <w:iCs w:val="0"/>
          <w:color w:val="0070C0"/>
          <w:highlight w:val="yellow"/>
          <w:lang w:val="en-US" w:eastAsia="zh-CN"/>
        </w:rPr>
        <w:t>and the UE is capable of [common Rx beam between PCC band and SCC band]</w:t>
      </w:r>
      <w:r>
        <w:rPr>
          <w:i w:val="0"/>
          <w:iCs w:val="0"/>
          <w:color w:val="0070C0"/>
        </w:rPr>
        <w:t>, where SSB symbols are indicated by the union set of SSB-ToMeasure from all the configured measurement objects on the same serving carrier which can be merged. and RSSI symbols are indicated by SS-RSSI-Measurement</w:t>
      </w:r>
      <w:r>
        <w:rPr>
          <w:rFonts w:hint="eastAsia"/>
          <w:i w:val="0"/>
          <w:iCs w:val="0"/>
          <w:color w:val="0070C0"/>
          <w:lang w:val="en-US" w:eastAsia="zh-CN"/>
        </w:rPr>
        <w:t>, or</w:t>
      </w:r>
      <w:r>
        <w:rPr>
          <w:i w:val="0"/>
          <w:iCs w:val="0"/>
          <w:color w:val="0070C0"/>
        </w:rPr>
        <w:t>;</w:t>
      </w:r>
    </w:p>
    <w:p w14:paraId="63E4D385">
      <w:pPr>
        <w:pStyle w:val="150"/>
        <w:numPr>
          <w:ilvl w:val="1"/>
          <w:numId w:val="4"/>
        </w:numPr>
        <w:overflowPunct/>
        <w:autoSpaceDE/>
        <w:autoSpaceDN/>
        <w:adjustRightInd/>
        <w:spacing w:after="120"/>
        <w:ind w:left="1440" w:firstLineChars="0"/>
        <w:textAlignment w:val="auto"/>
        <w:rPr>
          <w:rFonts w:eastAsiaTheme="minorEastAsia"/>
          <w:bCs/>
          <w:color w:val="0070C0"/>
          <w:sz w:val="20"/>
          <w:szCs w:val="20"/>
          <w:lang w:eastAsia="ko-KR" w:bidi="ar"/>
        </w:rPr>
      </w:pPr>
      <w:r>
        <w:rPr>
          <w:rFonts w:hint="eastAsia" w:eastAsiaTheme="minorEastAsia"/>
          <w:color w:val="0070C0"/>
          <w:sz w:val="20"/>
          <w:szCs w:val="20"/>
          <w:lang w:val="en-US" w:eastAsia="zh-CN"/>
        </w:rPr>
        <w:t>Proposal 2: (CMCC)</w:t>
      </w:r>
    </w:p>
    <w:p w14:paraId="195B0A51">
      <w:pPr>
        <w:pStyle w:val="150"/>
        <w:numPr>
          <w:ilvl w:val="2"/>
          <w:numId w:val="4"/>
        </w:numPr>
        <w:overflowPunct/>
        <w:autoSpaceDE/>
        <w:autoSpaceDN/>
        <w:adjustRightInd/>
        <w:spacing w:after="120"/>
        <w:ind w:left="1860" w:firstLineChars="0"/>
        <w:textAlignment w:val="auto"/>
        <w:rPr>
          <w:rFonts w:hint="eastAsia" w:eastAsia="宋体" w:cs="Times New Roman"/>
          <w:b w:val="0"/>
          <w:bCs w:val="0"/>
          <w:i w:val="0"/>
          <w:iCs w:val="0"/>
          <w:color w:val="0070C0"/>
          <w:sz w:val="20"/>
          <w:szCs w:val="20"/>
          <w:lang w:val="en-US" w:eastAsia="zh-CN"/>
        </w:rPr>
      </w:pPr>
      <w:r>
        <w:rPr>
          <w:rFonts w:hint="eastAsia" w:eastAsia="等线" w:cs="Times New Roman"/>
          <w:b w:val="0"/>
          <w:bCs w:val="0"/>
          <w:i w:val="0"/>
          <w:iCs w:val="0"/>
          <w:color w:val="0070C0"/>
          <w:sz w:val="20"/>
          <w:szCs w:val="20"/>
          <w:lang w:val="en-US" w:eastAsia="zh-CN"/>
        </w:rPr>
        <w:t xml:space="preserve">Firstly align the understanding about the reference timing of SSB symbols and the RSSI symbols in the definition of </w:t>
      </w:r>
      <w:r>
        <w:rPr>
          <w:rFonts w:hint="default" w:ascii="Times New Roman" w:hAnsi="Times New Roman" w:cs="Times New Roman"/>
          <w:b w:val="0"/>
          <w:bCs w:val="0"/>
          <w:i w:val="0"/>
          <w:iCs w:val="0"/>
          <w:color w:val="0070C0"/>
          <w:sz w:val="20"/>
          <w:szCs w:val="20"/>
        </w:rPr>
        <w:t>K</w:t>
      </w:r>
      <w:r>
        <w:rPr>
          <w:rFonts w:hint="default" w:ascii="Times New Roman" w:hAnsi="Times New Roman" w:cs="Times New Roman"/>
          <w:b w:val="0"/>
          <w:bCs w:val="0"/>
          <w:i w:val="0"/>
          <w:iCs w:val="0"/>
          <w:color w:val="0070C0"/>
          <w:sz w:val="20"/>
          <w:szCs w:val="20"/>
          <w:vertAlign w:val="subscript"/>
        </w:rPr>
        <w:t>layer1_measurement</w:t>
      </w:r>
      <w:r>
        <w:rPr>
          <w:rFonts w:hint="eastAsia" w:eastAsia="宋体" w:cs="Times New Roman"/>
          <w:b w:val="0"/>
          <w:bCs w:val="0"/>
          <w:i w:val="0"/>
          <w:iCs w:val="0"/>
          <w:color w:val="0070C0"/>
          <w:sz w:val="20"/>
          <w:szCs w:val="20"/>
          <w:vertAlign w:val="baseline"/>
          <w:lang w:val="en-US" w:eastAsia="zh-CN"/>
        </w:rPr>
        <w:t>.</w:t>
      </w:r>
    </w:p>
    <w:p w14:paraId="627326A4">
      <w:pPr>
        <w:pStyle w:val="150"/>
        <w:numPr>
          <w:ilvl w:val="3"/>
          <w:numId w:val="4"/>
        </w:numPr>
        <w:overflowPunct/>
        <w:autoSpaceDE/>
        <w:autoSpaceDN/>
        <w:adjustRightInd/>
        <w:spacing w:after="120"/>
        <w:ind w:left="2280" w:firstLineChars="0"/>
        <w:textAlignment w:val="auto"/>
        <w:rPr>
          <w:rFonts w:hint="eastAsia" w:eastAsia="等线" w:cs="Times New Roman"/>
          <w:b w:val="0"/>
          <w:bCs w:val="0"/>
          <w:i w:val="0"/>
          <w:iCs w:val="0"/>
          <w:color w:val="0070C0"/>
          <w:sz w:val="20"/>
          <w:szCs w:val="20"/>
          <w:lang w:val="en-US" w:eastAsia="zh-CN"/>
        </w:rPr>
      </w:pPr>
      <w:r>
        <w:rPr>
          <w:rFonts w:hint="eastAsia" w:eastAsia="等线" w:cs="Times New Roman"/>
          <w:b w:val="0"/>
          <w:bCs w:val="0"/>
          <w:i w:val="0"/>
          <w:iCs w:val="0"/>
          <w:color w:val="0070C0"/>
          <w:sz w:val="20"/>
          <w:szCs w:val="20"/>
          <w:lang w:val="en-US" w:eastAsia="zh-CN"/>
        </w:rPr>
        <w:t>If the serving cell timing is used as the reference timing of SSB symbols and the RSSI symbols, then extend the margin considering the maximum propagation delay difference between serving cell and neighbour cells.</w:t>
      </w:r>
    </w:p>
    <w:p w14:paraId="1A8A9577">
      <w:pPr>
        <w:pStyle w:val="150"/>
        <w:numPr>
          <w:ilvl w:val="3"/>
          <w:numId w:val="4"/>
        </w:numPr>
        <w:overflowPunct/>
        <w:autoSpaceDE/>
        <w:autoSpaceDN/>
        <w:adjustRightInd/>
        <w:spacing w:after="120"/>
        <w:ind w:left="2280" w:firstLineChars="0"/>
        <w:textAlignment w:val="auto"/>
        <w:rPr>
          <w:rFonts w:eastAsiaTheme="minorEastAsia"/>
          <w:b w:val="0"/>
          <w:bCs w:val="0"/>
          <w:i w:val="0"/>
          <w:iCs w:val="0"/>
          <w:color w:val="0070C0"/>
          <w:sz w:val="20"/>
          <w:szCs w:val="20"/>
          <w:lang w:eastAsia="ko-KR" w:bidi="ar"/>
        </w:rPr>
      </w:pPr>
      <w:r>
        <w:rPr>
          <w:rFonts w:hint="eastAsia" w:eastAsia="等线" w:cs="Times New Roman"/>
          <w:b w:val="0"/>
          <w:bCs w:val="0"/>
          <w:i w:val="0"/>
          <w:iCs w:val="0"/>
          <w:color w:val="0070C0"/>
          <w:sz w:val="20"/>
          <w:szCs w:val="20"/>
          <w:lang w:val="en-US" w:eastAsia="zh-CN"/>
        </w:rPr>
        <w:t>If the neighbour cell timing is used as the reference timing of SSB symbols and the RSSI symbols, then reuse the legacy 1 symbol margin</w:t>
      </w:r>
    </w:p>
    <w:p w14:paraId="21CE9DCE">
      <w:pPr>
        <w:pStyle w:val="150"/>
        <w:numPr>
          <w:ilvl w:val="1"/>
          <w:numId w:val="4"/>
        </w:numPr>
        <w:overflowPunct/>
        <w:autoSpaceDE/>
        <w:autoSpaceDN/>
        <w:adjustRightInd/>
        <w:spacing w:after="120"/>
        <w:ind w:left="1440" w:firstLineChars="0"/>
        <w:textAlignment w:val="auto"/>
        <w:rPr>
          <w:rFonts w:eastAsiaTheme="minorEastAsia"/>
          <w:bCs/>
          <w:color w:val="0070C0"/>
          <w:sz w:val="20"/>
          <w:szCs w:val="20"/>
          <w:lang w:eastAsia="ko-KR" w:bidi="ar"/>
        </w:rPr>
      </w:pPr>
      <w:r>
        <w:rPr>
          <w:rFonts w:hint="eastAsia" w:eastAsiaTheme="minorEastAsia"/>
          <w:color w:val="0070C0"/>
          <w:sz w:val="20"/>
          <w:szCs w:val="20"/>
          <w:lang w:val="en-US" w:eastAsia="zh-CN"/>
        </w:rPr>
        <w:t>Proposal 3: (Ericsson)</w:t>
      </w:r>
    </w:p>
    <w:p w14:paraId="506D7F84">
      <w:pPr>
        <w:pStyle w:val="150"/>
        <w:numPr>
          <w:ilvl w:val="2"/>
          <w:numId w:val="4"/>
        </w:numPr>
        <w:overflowPunct/>
        <w:autoSpaceDE/>
        <w:autoSpaceDN/>
        <w:adjustRightInd/>
        <w:spacing w:after="120"/>
        <w:ind w:left="1860" w:firstLineChars="0"/>
        <w:textAlignment w:val="auto"/>
        <w:rPr>
          <w:rFonts w:hint="default" w:ascii="Times New Roman" w:hAnsi="Times New Roman" w:cs="Times New Roman" w:eastAsiaTheme="minorEastAsia"/>
          <w:bCs/>
          <w:color w:val="0070C0"/>
          <w:sz w:val="20"/>
          <w:szCs w:val="20"/>
          <w:lang w:eastAsia="ko-KR" w:bidi="ar"/>
        </w:rPr>
      </w:pPr>
      <w:bookmarkStart w:id="0" w:name="_Toc197710749"/>
      <w:r>
        <w:rPr>
          <w:rFonts w:hint="default" w:ascii="Times New Roman" w:hAnsi="Times New Roman" w:cs="Times New Roman"/>
          <w:color w:val="0070C0"/>
          <w:sz w:val="20"/>
          <w:szCs w:val="20"/>
          <w:lang w:val="en-US"/>
        </w:rPr>
        <w:t xml:space="preserve">reuse the legacy specification, i.e.  </w:t>
      </w:r>
    </w:p>
    <w:p w14:paraId="3471401E">
      <w:pPr>
        <w:pStyle w:val="150"/>
        <w:numPr>
          <w:ilvl w:val="3"/>
          <w:numId w:val="4"/>
        </w:numPr>
        <w:overflowPunct/>
        <w:autoSpaceDE/>
        <w:autoSpaceDN/>
        <w:adjustRightInd/>
        <w:spacing w:after="120"/>
        <w:ind w:left="2280" w:leftChars="0" w:firstLineChars="0"/>
        <w:textAlignment w:val="auto"/>
        <w:rPr>
          <w:rFonts w:hint="default" w:ascii="Times New Roman" w:hAnsi="Times New Roman" w:cs="Times New Roman" w:eastAsiaTheme="minorEastAsia"/>
          <w:bCs/>
          <w:color w:val="0070C0"/>
          <w:sz w:val="20"/>
          <w:szCs w:val="20"/>
          <w:lang w:eastAsia="ko-KR" w:bidi="ar"/>
        </w:rPr>
      </w:pPr>
      <w:r>
        <w:rPr>
          <w:rFonts w:hint="default" w:ascii="Times New Roman" w:hAnsi="Times New Roman" w:cs="Times New Roman"/>
          <w:color w:val="0070C0"/>
          <w:sz w:val="20"/>
          <w:szCs w:val="20"/>
          <w:lang w:val="en-US"/>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of serving cells when inter-band carrier aggregation within FR1 is configured and UE supports [capability of case 4], given that SSB-ToMeasure and SS-RSSI-Measurement are configured, where SSB symbols are indicated by the union set of SSB-ToMeasure from all the configured measurement objects on the same serving carrier which can be merged. and RSSI symbols are indicated by SS-RSSI-Measurement</w:t>
      </w:r>
      <w:bookmarkEnd w:id="0"/>
    </w:p>
    <w:p w14:paraId="77D1C200">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4FAA07FB">
      <w:pPr>
        <w:pStyle w:val="150"/>
        <w:numPr>
          <w:ilvl w:val="1"/>
          <w:numId w:val="4"/>
        </w:numPr>
        <w:overflowPunct/>
        <w:autoSpaceDE/>
        <w:autoSpaceDN/>
        <w:adjustRightInd/>
        <w:spacing w:after="120"/>
        <w:ind w:left="1440" w:firstLineChars="0"/>
        <w:textAlignment w:val="auto"/>
        <w:rPr>
          <w:b w:val="0"/>
          <w:bCs/>
          <w:color w:val="0070C0"/>
          <w:u w:val="none"/>
          <w:lang w:val="en-US" w:eastAsia="zh-CN"/>
        </w:rPr>
      </w:pPr>
      <w:r>
        <w:rPr>
          <w:rFonts w:hint="eastAsia"/>
          <w:b w:val="0"/>
          <w:bCs/>
          <w:color w:val="0070C0"/>
          <w:u w:val="none"/>
          <w:lang w:val="en-US" w:eastAsia="zh-CN"/>
        </w:rPr>
        <w:t>To be discussed</w:t>
      </w:r>
    </w:p>
    <w:p w14:paraId="362D2C94">
      <w:pPr>
        <w:pStyle w:val="150"/>
        <w:numPr>
          <w:ilvl w:val="1"/>
          <w:numId w:val="4"/>
        </w:numPr>
        <w:overflowPunct/>
        <w:autoSpaceDE/>
        <w:autoSpaceDN/>
        <w:adjustRightInd/>
        <w:spacing w:after="120"/>
        <w:ind w:left="1440" w:leftChars="0" w:firstLineChars="0"/>
        <w:textAlignment w:val="auto"/>
        <w:rPr>
          <w:b w:val="0"/>
          <w:bCs/>
          <w:color w:val="0070C0"/>
          <w:u w:val="none"/>
          <w:lang w:val="en-US" w:eastAsia="zh-CN"/>
        </w:rPr>
      </w:pPr>
      <w:r>
        <w:rPr>
          <w:rFonts w:hint="eastAsia"/>
          <w:b w:val="0"/>
          <w:bCs/>
          <w:color w:val="0070C0"/>
          <w:u w:val="none"/>
          <w:lang w:val="en-US" w:eastAsia="zh-CN"/>
        </w:rPr>
        <w:t>Some background for information</w:t>
      </w:r>
    </w:p>
    <w:p w14:paraId="44898350">
      <w:pPr>
        <w:pStyle w:val="150"/>
        <w:numPr>
          <w:ilvl w:val="2"/>
          <w:numId w:val="4"/>
        </w:numPr>
        <w:overflowPunct/>
        <w:autoSpaceDE/>
        <w:autoSpaceDN/>
        <w:adjustRightInd/>
        <w:spacing w:after="120"/>
        <w:ind w:left="1860" w:leftChars="0" w:firstLineChars="0"/>
        <w:textAlignment w:val="auto"/>
        <w:rPr>
          <w:b/>
          <w:color w:val="0070C0"/>
          <w:u w:val="single"/>
          <w:lang w:val="en-US" w:eastAsia="zh-CN"/>
        </w:rPr>
      </w:pPr>
      <w:r>
        <w:rPr>
          <w:rFonts w:hint="eastAsia"/>
          <w:color w:val="0070C0"/>
          <w:lang w:val="en-US" w:eastAsia="zh-CN"/>
        </w:rPr>
        <w:t xml:space="preserve">If </w:t>
      </w:r>
      <w:r>
        <w:rPr>
          <w:b w:val="0"/>
          <w:bCs/>
          <w:color w:val="0070C0"/>
        </w:rPr>
        <w:t>SSB-ToMeasure and SS-RSSI-Measurement are configured</w:t>
      </w:r>
      <w:r>
        <w:rPr>
          <w:rFonts w:hint="eastAsia" w:eastAsia="宋体"/>
          <w:b w:val="0"/>
          <w:bCs/>
          <w:color w:val="0070C0"/>
          <w:lang w:val="en-US" w:eastAsia="zh-CN"/>
        </w:rPr>
        <w:t xml:space="preserve">, then network/UE knows the </w:t>
      </w:r>
      <w:r>
        <w:rPr>
          <w:rFonts w:hint="eastAsia" w:eastAsia="宋体"/>
          <w:b w:val="0"/>
          <w:bCs/>
          <w:color w:val="0070C0"/>
          <w:u w:val="single"/>
          <w:lang w:val="en-US" w:eastAsia="zh-CN"/>
        </w:rPr>
        <w:t>coarse SSB/RSSI position which need be measured for L3 (both serving and neighbour)</w:t>
      </w:r>
      <w:r>
        <w:rPr>
          <w:rFonts w:hint="eastAsia" w:eastAsia="宋体"/>
          <w:b w:val="0"/>
          <w:bCs/>
          <w:color w:val="0070C0"/>
          <w:lang w:val="en-US" w:eastAsia="zh-CN"/>
        </w:rPr>
        <w:t xml:space="preserve">. Then when </w:t>
      </w:r>
      <w:r>
        <w:rPr>
          <w:b w:val="0"/>
          <w:bCs/>
          <w:color w:val="0070C0"/>
        </w:rPr>
        <w:t>reference signal configured for RLM, BFD, CBD or L1-RSRP for beam reporting outside measurement gap and fully-overlapped by intra-frequency SMTC occasions are not overlapped with any of the SSB symbols and the RSSI symbols</w:t>
      </w:r>
      <w:r>
        <w:rPr>
          <w:rFonts w:hint="eastAsia" w:eastAsia="宋体"/>
          <w:b w:val="0"/>
          <w:bCs/>
          <w:color w:val="0070C0"/>
          <w:lang w:val="en-US" w:eastAsia="zh-CN"/>
        </w:rPr>
        <w:t>, K</w:t>
      </w:r>
      <w:r>
        <w:rPr>
          <w:rFonts w:hint="eastAsia" w:eastAsia="宋体"/>
          <w:b w:val="0"/>
          <w:bCs/>
          <w:color w:val="0070C0"/>
          <w:vertAlign w:val="subscript"/>
          <w:lang w:val="en-US" w:eastAsia="zh-CN"/>
        </w:rPr>
        <w:t>layer1</w:t>
      </w:r>
      <w:r>
        <w:rPr>
          <w:rFonts w:hint="eastAsia" w:eastAsia="宋体"/>
          <w:b w:val="0"/>
          <w:bCs/>
          <w:color w:val="0070C0"/>
          <w:lang w:val="en-US" w:eastAsia="zh-CN"/>
        </w:rPr>
        <w:t xml:space="preserve"> can be 1.</w:t>
      </w:r>
    </w:p>
    <w:p w14:paraId="6096A92E">
      <w:pPr>
        <w:pStyle w:val="150"/>
        <w:numPr>
          <w:ilvl w:val="2"/>
          <w:numId w:val="4"/>
        </w:numPr>
        <w:overflowPunct/>
        <w:autoSpaceDE/>
        <w:autoSpaceDN/>
        <w:adjustRightInd/>
        <w:spacing w:after="120"/>
        <w:ind w:left="1860" w:leftChars="0" w:firstLineChars="0"/>
        <w:textAlignment w:val="auto"/>
        <w:rPr>
          <w:b/>
          <w:color w:val="0070C0"/>
          <w:u w:val="single"/>
          <w:lang w:val="en-US" w:eastAsia="zh-CN"/>
        </w:rPr>
      </w:pPr>
      <w:r>
        <w:rPr>
          <w:rFonts w:hint="eastAsia" w:eastAsia="宋体"/>
          <w:b w:val="0"/>
          <w:bCs/>
          <w:color w:val="0070C0"/>
          <w:lang w:val="en-US" w:eastAsia="zh-CN"/>
        </w:rPr>
        <w:t xml:space="preserve">In legacy, the </w:t>
      </w:r>
      <w:r>
        <w:rPr>
          <w:rFonts w:hint="eastAsia" w:eastAsia="宋体"/>
          <w:b w:val="0"/>
          <w:bCs/>
          <w:color w:val="0070C0"/>
          <w:u w:val="single"/>
          <w:lang w:val="en-US" w:eastAsia="zh-CN"/>
        </w:rPr>
        <w:t xml:space="preserve">coarse SSB/RSSI position which need be measured for L3 (both serving and neighbour) </w:t>
      </w:r>
      <w:r>
        <w:rPr>
          <w:rFonts w:hint="eastAsia" w:eastAsia="宋体"/>
          <w:b w:val="0"/>
          <w:bCs/>
          <w:color w:val="0070C0"/>
          <w:u w:val="none"/>
          <w:lang w:val="en-US" w:eastAsia="zh-CN"/>
        </w:rPr>
        <w:t xml:space="preserve">includes </w:t>
      </w:r>
      <w:r>
        <w:rPr>
          <w:rFonts w:hint="eastAsia" w:eastAsia="宋体"/>
          <w:b w:val="0"/>
          <w:bCs/>
          <w:color w:val="0070C0"/>
          <w:highlight w:val="none"/>
          <w:u w:val="none"/>
          <w:lang w:val="en-US" w:eastAsia="zh-CN"/>
        </w:rPr>
        <w:t xml:space="preserve">the </w:t>
      </w:r>
      <w:r>
        <w:rPr>
          <w:b w:val="0"/>
          <w:bCs/>
          <w:color w:val="0070C0"/>
          <w:highlight w:val="none"/>
        </w:rPr>
        <w:t>SSB symbols and the RSSI symbols,</w:t>
      </w:r>
      <w:r>
        <w:rPr>
          <w:b w:val="0"/>
          <w:bCs/>
          <w:color w:val="0070C0"/>
        </w:rPr>
        <w:t xml:space="preserve"> and 1 symbol before each consecutive SSB symbols and the RSSI symbols, and 1 symbol after each consecutive SSB symbols and the RSSI symbols</w:t>
      </w:r>
      <w:r>
        <w:rPr>
          <w:rFonts w:hint="eastAsia" w:eastAsia="宋体"/>
          <w:b w:val="0"/>
          <w:bCs/>
          <w:color w:val="0070C0"/>
          <w:lang w:val="en-US" w:eastAsia="zh-CN"/>
        </w:rPr>
        <w:t xml:space="preserve">. </w:t>
      </w:r>
    </w:p>
    <w:p w14:paraId="239695D3">
      <w:pPr>
        <w:pStyle w:val="150"/>
        <w:numPr>
          <w:ilvl w:val="3"/>
          <w:numId w:val="4"/>
        </w:numPr>
        <w:overflowPunct/>
        <w:autoSpaceDE/>
        <w:autoSpaceDN/>
        <w:adjustRightInd/>
        <w:spacing w:after="120"/>
        <w:ind w:left="2280" w:leftChars="0" w:firstLineChars="0"/>
        <w:textAlignment w:val="auto"/>
        <w:rPr>
          <w:b/>
          <w:color w:val="0070C0"/>
          <w:u w:val="single"/>
          <w:lang w:val="en-US" w:eastAsia="zh-CN"/>
        </w:rPr>
      </w:pPr>
      <w:r>
        <w:rPr>
          <w:rFonts w:hint="eastAsia" w:eastAsia="宋体"/>
          <w:b w:val="0"/>
          <w:bCs/>
          <w:color w:val="0070C0"/>
          <w:highlight w:val="yellow"/>
          <w:lang w:val="en-US" w:eastAsia="zh-CN"/>
        </w:rPr>
        <w:t>Based on moderator</w:t>
      </w:r>
      <w:r>
        <w:rPr>
          <w:rFonts w:hint="default" w:eastAsia="宋体"/>
          <w:b w:val="0"/>
          <w:bCs/>
          <w:color w:val="0070C0"/>
          <w:highlight w:val="yellow"/>
          <w:lang w:val="en-US" w:eastAsia="zh-CN"/>
        </w:rPr>
        <w:t>’</w:t>
      </w:r>
      <w:r>
        <w:rPr>
          <w:rFonts w:hint="eastAsia" w:eastAsia="宋体"/>
          <w:b w:val="0"/>
          <w:bCs/>
          <w:color w:val="0070C0"/>
          <w:highlight w:val="yellow"/>
          <w:lang w:val="en-US" w:eastAsia="zh-CN"/>
        </w:rPr>
        <w:t>s understanding, the reference timing of the</w:t>
      </w:r>
      <w:r>
        <w:rPr>
          <w:rFonts w:hint="eastAsia" w:eastAsia="宋体"/>
          <w:b w:val="0"/>
          <w:bCs/>
          <w:color w:val="0070C0"/>
          <w:highlight w:val="yellow"/>
          <w:u w:val="single"/>
          <w:lang w:val="en-US" w:eastAsia="zh-CN"/>
        </w:rPr>
        <w:t xml:space="preserve"> </w:t>
      </w:r>
      <w:r>
        <w:rPr>
          <w:b w:val="0"/>
          <w:bCs/>
          <w:color w:val="0070C0"/>
          <w:highlight w:val="yellow"/>
        </w:rPr>
        <w:t>SSB symbols and the RSSI symbols</w:t>
      </w:r>
      <w:r>
        <w:rPr>
          <w:rFonts w:hint="eastAsia" w:eastAsia="宋体"/>
          <w:b w:val="0"/>
          <w:bCs/>
          <w:color w:val="0070C0"/>
          <w:highlight w:val="yellow"/>
          <w:lang w:val="en-US" w:eastAsia="zh-CN"/>
        </w:rPr>
        <w:t xml:space="preserve"> is the </w:t>
      </w:r>
      <w:r>
        <w:rPr>
          <w:rFonts w:hint="eastAsia" w:eastAsia="宋体"/>
          <w:b w:val="0"/>
          <w:bCs/>
          <w:color w:val="0070C0"/>
          <w:highlight w:val="cyan"/>
          <w:lang w:val="en-US" w:eastAsia="zh-CN"/>
        </w:rPr>
        <w:t>serving cell</w:t>
      </w:r>
      <w:r>
        <w:rPr>
          <w:rFonts w:hint="eastAsia" w:eastAsia="宋体"/>
          <w:b w:val="0"/>
          <w:bCs/>
          <w:color w:val="0070C0"/>
          <w:highlight w:val="yellow"/>
          <w:lang w:val="en-US" w:eastAsia="zh-CN"/>
        </w:rPr>
        <w:t>, and the propagation delay difference and sync among cells are included in the 1 symbol before and after.</w:t>
      </w:r>
    </w:p>
    <w:p w14:paraId="53A48712">
      <w:pPr>
        <w:pStyle w:val="150"/>
        <w:numPr>
          <w:ilvl w:val="3"/>
          <w:numId w:val="4"/>
        </w:numPr>
        <w:overflowPunct/>
        <w:autoSpaceDE/>
        <w:autoSpaceDN/>
        <w:adjustRightInd/>
        <w:spacing w:after="120"/>
        <w:ind w:left="2280" w:leftChars="0" w:firstLineChars="0"/>
        <w:textAlignment w:val="auto"/>
        <w:rPr>
          <w:b/>
          <w:color w:val="0070C0"/>
          <w:u w:val="single"/>
          <w:lang w:val="en-US" w:eastAsia="zh-CN"/>
        </w:rPr>
      </w:pPr>
      <w:r>
        <w:rPr>
          <w:rFonts w:hint="eastAsia" w:eastAsia="宋体"/>
          <w:b w:val="0"/>
          <w:bCs/>
          <w:color w:val="0070C0"/>
          <w:highlight w:val="yellow"/>
          <w:lang w:val="en-US" w:eastAsia="zh-CN"/>
        </w:rPr>
        <w:t>For ATG, the ISD can be up to 300km, the 1 symbol margin may not enough for the propagation delay difference between serving and neighbour</w:t>
      </w:r>
    </w:p>
    <w:p w14:paraId="5A80A4C7">
      <w:pPr>
        <w:rPr>
          <w:color w:val="0070C0"/>
          <w:lang w:val="en-US" w:eastAsia="zh-CN"/>
        </w:rPr>
      </w:pPr>
    </w:p>
    <w:p w14:paraId="042D9C49">
      <w:pPr>
        <w:rPr>
          <w:b/>
          <w:color w:val="0070C0"/>
          <w:u w:val="single"/>
          <w:lang w:val="en-US" w:eastAsia="zh-CN"/>
        </w:rPr>
      </w:pPr>
      <w:r>
        <w:rPr>
          <w:b/>
          <w:color w:val="0070C0"/>
          <w:u w:val="single"/>
          <w:lang w:eastAsia="ko-KR"/>
        </w:rPr>
        <w:t>Issue 1-</w:t>
      </w:r>
      <w:r>
        <w:rPr>
          <w:rFonts w:hint="eastAsia"/>
          <w:b/>
          <w:color w:val="0070C0"/>
          <w:u w:val="single"/>
          <w:lang w:val="en-US" w:eastAsia="zh-CN"/>
        </w:rPr>
        <w:t>3-3 Measurement enhancement for ATG UE with antenna array</w:t>
      </w:r>
    </w:p>
    <w:p w14:paraId="609EB1F2">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hint="eastAsia" w:eastAsia="宋体"/>
          <w:b/>
          <w:bCs/>
          <w:color w:val="0070C0"/>
          <w:szCs w:val="24"/>
          <w:lang w:val="en-US" w:eastAsia="zh-CN"/>
        </w:rPr>
        <w:t>Background: WF in RAN4#114bis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41D6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F683760">
            <w:pPr>
              <w:overflowPunct w:val="0"/>
              <w:autoSpaceDE w:val="0"/>
              <w:autoSpaceDN w:val="0"/>
              <w:adjustRightInd w:val="0"/>
              <w:snapToGrid w:val="0"/>
              <w:spacing w:after="120"/>
              <w:textAlignment w:val="baseline"/>
              <w:rPr>
                <w:rFonts w:eastAsia="等线"/>
                <w:highlight w:val="yellow"/>
                <w:lang w:val="en-US"/>
              </w:rPr>
            </w:pPr>
            <w:r>
              <w:rPr>
                <w:rFonts w:eastAsia="等线"/>
                <w:highlight w:val="yellow"/>
                <w:lang w:val="en-US"/>
              </w:rPr>
              <w:t>Candidate options:</w:t>
            </w:r>
          </w:p>
          <w:p w14:paraId="7C00A62D">
            <w:pPr>
              <w:numPr>
                <w:ilvl w:val="0"/>
                <w:numId w:val="4"/>
              </w:numPr>
              <w:tabs>
                <w:tab w:val="left" w:pos="-420"/>
                <w:tab w:val="left" w:pos="420"/>
              </w:tabs>
              <w:overflowPunct w:val="0"/>
              <w:autoSpaceDE w:val="0"/>
              <w:autoSpaceDN w:val="0"/>
              <w:adjustRightInd w:val="0"/>
              <w:spacing w:before="0" w:after="120"/>
              <w:ind w:left="726" w:hanging="363"/>
              <w:jc w:val="left"/>
              <w:textAlignment w:val="baseline"/>
              <w:rPr>
                <w:rFonts w:eastAsia="宋体"/>
              </w:rPr>
            </w:pPr>
            <w:r>
              <w:rPr>
                <w:rFonts w:eastAsia="宋体"/>
              </w:rPr>
              <w:t>UE could skip the neighbour cell measurement of {SCC and/or CC with deactivated SCell} by network control.</w:t>
            </w:r>
          </w:p>
          <w:p w14:paraId="5CED75E8">
            <w:pPr>
              <w:numPr>
                <w:ilvl w:val="1"/>
                <w:numId w:val="4"/>
              </w:numPr>
              <w:tabs>
                <w:tab w:val="left" w:pos="420"/>
              </w:tabs>
              <w:overflowPunct w:val="0"/>
              <w:autoSpaceDE w:val="0"/>
              <w:autoSpaceDN w:val="0"/>
              <w:adjustRightInd w:val="0"/>
              <w:spacing w:before="0" w:after="120"/>
              <w:ind w:left="1146" w:hanging="363"/>
              <w:jc w:val="left"/>
              <w:textAlignment w:val="baseline"/>
              <w:rPr>
                <w:rFonts w:eastAsia="宋体"/>
              </w:rPr>
            </w:pPr>
            <w:r>
              <w:rPr>
                <w:rFonts w:eastAsia="宋体"/>
              </w:rPr>
              <w:t>Option 1: this can already be achieved by the existing configuration.</w:t>
            </w:r>
          </w:p>
          <w:p w14:paraId="27131F59">
            <w:pPr>
              <w:numPr>
                <w:ilvl w:val="1"/>
                <w:numId w:val="4"/>
              </w:numPr>
              <w:tabs>
                <w:tab w:val="left" w:pos="420"/>
              </w:tabs>
              <w:overflowPunct w:val="0"/>
              <w:autoSpaceDE w:val="0"/>
              <w:autoSpaceDN w:val="0"/>
              <w:adjustRightInd w:val="0"/>
              <w:spacing w:before="0" w:after="120"/>
              <w:ind w:left="1146" w:hanging="363"/>
              <w:jc w:val="left"/>
              <w:textAlignment w:val="baseline"/>
              <w:rPr>
                <w:rFonts w:eastAsia="宋体"/>
                <w:b/>
                <w:bCs/>
                <w:color w:val="0070C0"/>
                <w:szCs w:val="24"/>
                <w:vertAlign w:val="baseline"/>
                <w:lang w:eastAsia="zh-CN"/>
              </w:rPr>
            </w:pPr>
            <w:r>
              <w:rPr>
                <w:rFonts w:eastAsia="宋体"/>
              </w:rPr>
              <w:t>Option 2: Consider enhancement for Rel-19 ATG CA</w:t>
            </w:r>
          </w:p>
        </w:tc>
      </w:tr>
    </w:tbl>
    <w:p w14:paraId="26194BE3">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505409D7">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Introduce a network signaling to indicate that the UE is not required to measure the neighbour cell on the configured MO for SCC. LS shall be sent to RAN2 for signaling design (CMCC)</w:t>
      </w:r>
    </w:p>
    <w:p w14:paraId="417CC95B">
      <w:pPr>
        <w:pStyle w:val="150"/>
        <w:numPr>
          <w:ilvl w:val="2"/>
          <w:numId w:val="4"/>
        </w:numPr>
        <w:overflowPunct/>
        <w:autoSpaceDE/>
        <w:autoSpaceDN/>
        <w:adjustRightInd/>
        <w:spacing w:after="120"/>
        <w:ind w:left="1860" w:firstLineChars="0"/>
        <w:textAlignment w:val="auto"/>
        <w:rPr>
          <w:b/>
          <w:color w:val="0070C0"/>
          <w:u w:val="single"/>
          <w:lang w:val="en-US" w:eastAsia="ko-KR"/>
        </w:rPr>
      </w:pPr>
      <w:r>
        <w:rPr>
          <w:rFonts w:hint="eastAsia" w:eastAsia="宋体"/>
          <w:color w:val="0070C0"/>
          <w:szCs w:val="24"/>
          <w:lang w:val="en-US" w:eastAsia="zh-CN"/>
        </w:rPr>
        <w:t>The existing network configuration can not achieve the functionality that UE only skip the neighbour cell measurement of {SCC and/or CC with deactivated SCell}</w:t>
      </w:r>
    </w:p>
    <w:p w14:paraId="547236EF">
      <w:pPr>
        <w:pStyle w:val="150"/>
        <w:numPr>
          <w:ilvl w:val="2"/>
          <w:numId w:val="4"/>
        </w:numPr>
        <w:overflowPunct/>
        <w:autoSpaceDE/>
        <w:autoSpaceDN/>
        <w:adjustRightInd/>
        <w:spacing w:after="120"/>
        <w:ind w:left="1860" w:firstLineChars="0"/>
        <w:textAlignment w:val="auto"/>
        <w:rPr>
          <w:rFonts w:hint="eastAsia" w:ascii="Times New Roman" w:hAnsi="Times New Roman" w:eastAsia="宋体" w:cs="Times New Roman"/>
          <w:color w:val="0070C0"/>
          <w:szCs w:val="24"/>
          <w:lang w:val="en-US" w:eastAsia="ko-KR"/>
        </w:rPr>
      </w:pPr>
      <w:r>
        <w:rPr>
          <w:rFonts w:hint="eastAsia" w:ascii="Times New Roman" w:hAnsi="Times New Roman" w:eastAsia="宋体" w:cs="Times New Roman"/>
          <w:color w:val="0070C0"/>
          <w:szCs w:val="24"/>
          <w:lang w:val="en-US" w:eastAsia="ko-KR"/>
        </w:rPr>
        <w:t>From requirement point of view, if UE skip the neighbour cell measurement of SCC and/or CC with deactivated SCell, the beam sweeping factor N1 and antenna array specific L1/L3 sharing factor is not needed, the scheduling restriction caused by antenna array will not be applied</w:t>
      </w:r>
    </w:p>
    <w:p w14:paraId="44EDF4C5">
      <w:pPr>
        <w:pStyle w:val="150"/>
        <w:numPr>
          <w:ilvl w:val="1"/>
          <w:numId w:val="4"/>
        </w:numPr>
        <w:overflowPunct/>
        <w:autoSpaceDE/>
        <w:autoSpaceDN/>
        <w:adjustRightInd/>
        <w:spacing w:after="120"/>
        <w:ind w:left="1440" w:firstLineChars="0"/>
        <w:textAlignment w:val="auto"/>
        <w:rPr>
          <w:rFonts w:eastAsia="宋体"/>
          <w:color w:val="0070C0"/>
          <w:szCs w:val="24"/>
          <w:lang w:val="en-US" w:eastAsia="ko-KR"/>
        </w:rPr>
      </w:pPr>
      <w:r>
        <w:rPr>
          <w:rFonts w:hint="eastAsia" w:eastAsia="宋体"/>
          <w:color w:val="0070C0"/>
          <w:szCs w:val="24"/>
          <w:lang w:val="en-US" w:eastAsia="zh-CN"/>
        </w:rPr>
        <w:t>Proposal 2: UE could skip the neighbour cell measurement of {SCC and/or CC with deactivated SCell} by network control, which has already be achieved by the existing configuration</w:t>
      </w:r>
      <w:r>
        <w:rPr>
          <w:rFonts w:hint="eastAsia" w:eastAsia="宋体"/>
          <w:color w:val="0070C0"/>
          <w:szCs w:val="24"/>
          <w:lang w:eastAsia="zh-CN"/>
        </w:rPr>
        <w:t>.</w:t>
      </w:r>
      <w:r>
        <w:rPr>
          <w:rFonts w:hint="eastAsia" w:eastAsia="宋体"/>
          <w:color w:val="0070C0"/>
          <w:szCs w:val="24"/>
          <w:lang w:val="en-US" w:eastAsia="zh-CN"/>
        </w:rPr>
        <w:t xml:space="preserve"> (CATT, HW)</w:t>
      </w:r>
    </w:p>
    <w:p w14:paraId="4EB965D5">
      <w:pPr>
        <w:pStyle w:val="150"/>
        <w:numPr>
          <w:ilvl w:val="2"/>
          <w:numId w:val="4"/>
        </w:numPr>
        <w:overflowPunct/>
        <w:autoSpaceDE/>
        <w:autoSpaceDN/>
        <w:adjustRightInd/>
        <w:spacing w:after="120"/>
        <w:ind w:left="1860" w:firstLineChars="0"/>
        <w:textAlignment w:val="auto"/>
        <w:rPr>
          <w:rFonts w:eastAsia="宋体"/>
          <w:b w:val="0"/>
          <w:bCs/>
          <w:color w:val="0070C0"/>
          <w:szCs w:val="24"/>
          <w:lang w:val="en-US" w:eastAsia="ko-KR"/>
        </w:rPr>
      </w:pPr>
      <w:r>
        <w:rPr>
          <w:rFonts w:hint="eastAsia" w:eastAsia="宋体"/>
          <w:b w:val="0"/>
          <w:bCs/>
          <w:color w:val="0070C0"/>
          <w:lang w:val="en-US" w:eastAsia="zh-CN"/>
        </w:rPr>
        <w:t>Proposal 2-1: (CATT)</w:t>
      </w:r>
    </w:p>
    <w:p w14:paraId="4116C0B3">
      <w:pPr>
        <w:pStyle w:val="150"/>
        <w:numPr>
          <w:ilvl w:val="3"/>
          <w:numId w:val="4"/>
        </w:numPr>
        <w:overflowPunct/>
        <w:autoSpaceDE/>
        <w:autoSpaceDN/>
        <w:adjustRightInd/>
        <w:spacing w:after="120"/>
        <w:ind w:left="2280" w:leftChars="0" w:firstLineChars="0"/>
        <w:textAlignment w:val="auto"/>
        <w:rPr>
          <w:rFonts w:eastAsia="宋体"/>
          <w:b w:val="0"/>
          <w:bCs/>
          <w:color w:val="0070C0"/>
          <w:szCs w:val="24"/>
          <w:lang w:val="en-US" w:eastAsia="ko-KR"/>
        </w:rPr>
      </w:pPr>
      <w:r>
        <w:rPr>
          <w:b w:val="0"/>
          <w:bCs/>
          <w:color w:val="0070C0"/>
        </w:rPr>
        <w:t xml:space="preserve">The existing network can explicitly delete or disable measurement objects related to </w:t>
      </w:r>
      <w:r>
        <w:rPr>
          <w:b w:val="0"/>
          <w:bCs/>
          <w:color w:val="0070C0"/>
          <w:lang w:val="sv-SE"/>
        </w:rPr>
        <w:t>neighbour</w:t>
      </w:r>
      <w:r>
        <w:rPr>
          <w:b w:val="0"/>
          <w:bCs/>
          <w:color w:val="0070C0"/>
        </w:rPr>
        <w:t xml:space="preserve"> cells on SCC through RRC configuration, or filter </w:t>
      </w:r>
      <w:r>
        <w:rPr>
          <w:b w:val="0"/>
          <w:bCs/>
          <w:color w:val="0070C0"/>
          <w:lang w:val="sv-SE"/>
        </w:rPr>
        <w:t>neighbour</w:t>
      </w:r>
      <w:r>
        <w:rPr>
          <w:b w:val="0"/>
          <w:bCs/>
          <w:color w:val="0070C0"/>
        </w:rPr>
        <w:t xml:space="preserve"> cells on SCC through limitations on measurement object parameters</w:t>
      </w:r>
      <w:r>
        <w:rPr>
          <w:rFonts w:hint="eastAsia"/>
          <w:b w:val="0"/>
          <w:bCs/>
          <w:color w:val="0070C0"/>
        </w:rPr>
        <w:t xml:space="preserve"> (e.g. </w:t>
      </w:r>
      <w:r>
        <w:rPr>
          <w:rFonts w:hint="eastAsia"/>
          <w:b w:val="0"/>
          <w:bCs/>
          <w:i/>
          <w:color w:val="0070C0"/>
        </w:rPr>
        <w:t>allowedPCI-List</w:t>
      </w:r>
      <w:r>
        <w:rPr>
          <w:rFonts w:hint="eastAsia"/>
          <w:b w:val="0"/>
          <w:bCs/>
          <w:color w:val="0070C0"/>
        </w:rPr>
        <w:t xml:space="preserve"> or </w:t>
      </w:r>
      <w:r>
        <w:rPr>
          <w:rFonts w:hint="eastAsia"/>
          <w:b w:val="0"/>
          <w:bCs/>
          <w:i/>
          <w:color w:val="0070C0"/>
        </w:rPr>
        <w:t>blackPCI-List</w:t>
      </w:r>
      <w:r>
        <w:rPr>
          <w:rFonts w:hint="eastAsia"/>
          <w:b w:val="0"/>
          <w:bCs/>
          <w:color w:val="0070C0"/>
        </w:rPr>
        <w:t>)</w:t>
      </w:r>
      <w:r>
        <w:rPr>
          <w:b w:val="0"/>
          <w:bCs/>
          <w:color w:val="0070C0"/>
        </w:rPr>
        <w:t xml:space="preserve">, </w:t>
      </w:r>
      <w:r>
        <w:rPr>
          <w:rFonts w:hint="eastAsia"/>
          <w:b w:val="0"/>
          <w:bCs/>
          <w:color w:val="0070C0"/>
        </w:rPr>
        <w:t xml:space="preserve">or </w:t>
      </w:r>
      <w:r>
        <w:rPr>
          <w:b w:val="0"/>
          <w:bCs/>
          <w:color w:val="0070C0"/>
        </w:rPr>
        <w:t xml:space="preserve">delete </w:t>
      </w:r>
      <w:r>
        <w:rPr>
          <w:rFonts w:hint="eastAsia"/>
          <w:b w:val="0"/>
          <w:bCs/>
          <w:color w:val="0070C0"/>
        </w:rPr>
        <w:t>related measurement task via d</w:t>
      </w:r>
      <w:r>
        <w:rPr>
          <w:b w:val="0"/>
          <w:bCs/>
          <w:color w:val="0070C0"/>
        </w:rPr>
        <w:t xml:space="preserve">edicated </w:t>
      </w:r>
      <w:r>
        <w:rPr>
          <w:rFonts w:hint="eastAsia"/>
          <w:b w:val="0"/>
          <w:bCs/>
          <w:color w:val="0070C0"/>
        </w:rPr>
        <w:t>s</w:t>
      </w:r>
      <w:r>
        <w:rPr>
          <w:b w:val="0"/>
          <w:bCs/>
          <w:color w:val="0070C0"/>
        </w:rPr>
        <w:t>ignaling</w:t>
      </w:r>
    </w:p>
    <w:p w14:paraId="4CD4B07B">
      <w:pPr>
        <w:pStyle w:val="150"/>
        <w:numPr>
          <w:ilvl w:val="1"/>
          <w:numId w:val="4"/>
        </w:numPr>
        <w:overflowPunct/>
        <w:autoSpaceDE/>
        <w:autoSpaceDN/>
        <w:adjustRightInd/>
        <w:spacing w:after="120"/>
        <w:ind w:left="1440" w:leftChars="0" w:firstLineChars="0"/>
        <w:textAlignment w:val="auto"/>
        <w:rPr>
          <w:rFonts w:eastAsia="宋体"/>
          <w:b w:val="0"/>
          <w:bCs/>
          <w:color w:val="0070C0"/>
          <w:szCs w:val="24"/>
          <w:lang w:val="en-US" w:eastAsia="ko-KR"/>
        </w:rPr>
      </w:pPr>
      <w:r>
        <w:rPr>
          <w:rFonts w:hint="eastAsia" w:eastAsia="宋体"/>
          <w:b w:val="0"/>
          <w:bCs/>
          <w:color w:val="0070C0"/>
          <w:szCs w:val="24"/>
          <w:lang w:val="en-US" w:eastAsia="ko-KR"/>
        </w:rPr>
        <w:t xml:space="preserve">Proposal </w:t>
      </w:r>
      <w:r>
        <w:rPr>
          <w:rFonts w:hint="eastAsia" w:eastAsia="宋体"/>
          <w:b w:val="0"/>
          <w:bCs/>
          <w:color w:val="0070C0"/>
          <w:szCs w:val="24"/>
          <w:lang w:val="en-US" w:eastAsia="zh-CN"/>
        </w:rPr>
        <w:t xml:space="preserve">3: </w:t>
      </w:r>
      <w:r>
        <w:rPr>
          <w:rFonts w:hint="eastAsia" w:eastAsia="宋体"/>
          <w:b w:val="0"/>
          <w:bCs/>
          <w:color w:val="0070C0"/>
          <w:szCs w:val="24"/>
          <w:lang w:val="en-US" w:eastAsia="ko-KR"/>
        </w:rPr>
        <w:t xml:space="preserve">RAN4 should not support Measurement enhancement for ATG UE with antenna array.  </w:t>
      </w:r>
      <w:r>
        <w:rPr>
          <w:rFonts w:hint="eastAsia" w:eastAsia="宋体"/>
          <w:b w:val="0"/>
          <w:bCs/>
          <w:color w:val="0070C0"/>
          <w:szCs w:val="24"/>
          <w:lang w:val="en-US" w:eastAsia="zh-CN"/>
        </w:rPr>
        <w:t xml:space="preserve"> (Ericsson)</w:t>
      </w:r>
    </w:p>
    <w:p w14:paraId="0ECB3E7E">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42AF5F88">
      <w:pPr>
        <w:pStyle w:val="150"/>
        <w:numPr>
          <w:ilvl w:val="1"/>
          <w:numId w:val="4"/>
        </w:numPr>
        <w:overflowPunct/>
        <w:autoSpaceDE/>
        <w:autoSpaceDN/>
        <w:adjustRightInd/>
        <w:spacing w:after="120"/>
        <w:ind w:left="1440" w:firstLineChars="0"/>
        <w:textAlignment w:val="auto"/>
        <w:rPr>
          <w:b/>
          <w:color w:val="0070C0"/>
          <w:u w:val="single"/>
          <w:lang w:val="en-US" w:eastAsia="zh-CN"/>
        </w:rPr>
      </w:pPr>
      <w:r>
        <w:rPr>
          <w:rFonts w:hint="eastAsia" w:eastAsia="宋体"/>
          <w:color w:val="0070C0"/>
          <w:szCs w:val="24"/>
          <w:lang w:val="en-US" w:eastAsia="zh-CN"/>
        </w:rPr>
        <w:t>To be discussed</w:t>
      </w:r>
    </w:p>
    <w:p w14:paraId="79C20EE7">
      <w:pPr>
        <w:pStyle w:val="150"/>
        <w:numPr>
          <w:ilvl w:val="1"/>
          <w:numId w:val="4"/>
        </w:numPr>
        <w:overflowPunct/>
        <w:autoSpaceDE/>
        <w:autoSpaceDN/>
        <w:adjustRightInd/>
        <w:spacing w:after="120"/>
        <w:ind w:left="1440" w:firstLineChars="0"/>
        <w:textAlignment w:val="auto"/>
        <w:rPr>
          <w:rFonts w:hint="eastAsia" w:eastAsia="宋体"/>
          <w:color w:val="0070C0"/>
          <w:szCs w:val="24"/>
          <w:lang w:val="en-US" w:eastAsia="zh-CN"/>
        </w:rPr>
      </w:pPr>
      <w:r>
        <w:rPr>
          <w:rFonts w:hint="eastAsia" w:eastAsia="宋体"/>
          <w:color w:val="0070C0"/>
          <w:szCs w:val="24"/>
          <w:lang w:val="en-US" w:eastAsia="zh-CN"/>
        </w:rPr>
        <w:t>UE could skip the neighbour cell measurement of {SCC and/or CC with deactivated SCell} by network control. LS will sent to RAN2 about the signaling assistance due to this can</w:t>
      </w:r>
      <w:r>
        <w:rPr>
          <w:rFonts w:hint="default" w:eastAsia="宋体"/>
          <w:color w:val="0070C0"/>
          <w:szCs w:val="24"/>
          <w:lang w:val="en-US" w:eastAsia="zh-CN"/>
        </w:rPr>
        <w:t>’</w:t>
      </w:r>
      <w:r>
        <w:rPr>
          <w:rFonts w:hint="eastAsia" w:eastAsia="宋体"/>
          <w:color w:val="0070C0"/>
          <w:szCs w:val="24"/>
          <w:lang w:val="en-US" w:eastAsia="zh-CN"/>
        </w:rPr>
        <w:t>t be achieved by the existing configuration</w:t>
      </w:r>
    </w:p>
    <w:p w14:paraId="734F8F5B">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Ericsson: Still have concern. Only applicable to PCell quality is good enough.</w:t>
      </w:r>
    </w:p>
    <w:p w14:paraId="6DC65F56">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 xml:space="preserve">HW: Prefer network indication than RSRP condition. </w:t>
      </w:r>
    </w:p>
    <w:p w14:paraId="10218EF2">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ZTE: Based on previous discussion, the enhancement shall be fully controlled by network. The basic intention is throughput enhancement.</w:t>
      </w:r>
    </w:p>
    <w:p w14:paraId="2F3F5422">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HW: Just network indication, RAN2 design the signaling.</w:t>
      </w:r>
    </w:p>
    <w:p w14:paraId="1A44E20B">
      <w:pPr>
        <w:pStyle w:val="150"/>
        <w:overflowPunct/>
        <w:autoSpaceDE/>
        <w:autoSpaceDN/>
        <w:adjustRightInd/>
        <w:spacing w:after="120"/>
        <w:ind w:firstLine="0" w:firstLineChars="0"/>
        <w:textAlignment w:val="auto"/>
        <w:rPr>
          <w:rFonts w:hint="eastAsia" w:eastAsia="宋体"/>
          <w:b w:val="0"/>
          <w:bCs/>
          <w:color w:val="0070C0"/>
          <w:u w:val="none"/>
          <w:lang w:val="en-US" w:eastAsia="zh-CN"/>
        </w:rPr>
      </w:pPr>
      <w:r>
        <w:rPr>
          <w:rFonts w:hint="eastAsia" w:eastAsia="宋体"/>
          <w:b w:val="0"/>
          <w:bCs/>
          <w:color w:val="0070C0"/>
          <w:u w:val="none"/>
          <w:lang w:val="en-US" w:eastAsia="zh-CN"/>
        </w:rPr>
        <w:t>E///: Request more time.</w:t>
      </w:r>
    </w:p>
    <w:p w14:paraId="32AC7524">
      <w:pPr>
        <w:pStyle w:val="150"/>
        <w:overflowPunct/>
        <w:autoSpaceDE/>
        <w:autoSpaceDN/>
        <w:adjustRightInd/>
        <w:spacing w:after="120"/>
        <w:ind w:firstLine="0" w:firstLineChars="0"/>
        <w:textAlignment w:val="auto"/>
        <w:rPr>
          <w:rFonts w:hint="default" w:eastAsia="宋体"/>
          <w:b w:val="0"/>
          <w:bCs/>
          <w:color w:val="0070C0"/>
          <w:u w:val="none"/>
          <w:lang w:val="en-US" w:eastAsia="zh-CN"/>
        </w:rPr>
      </w:pPr>
      <w:r>
        <w:rPr>
          <w:rFonts w:hint="eastAsia" w:eastAsia="宋体"/>
          <w:b w:val="0"/>
          <w:bCs/>
          <w:color w:val="0070C0"/>
          <w:u w:val="none"/>
          <w:lang w:val="en-US" w:eastAsia="zh-CN"/>
        </w:rPr>
        <w:t>ZTE: Whether should be RRC based or MAC-CE based? Dynamic indication may be needed?</w:t>
      </w:r>
    </w:p>
    <w:p w14:paraId="4912F446">
      <w:pPr>
        <w:pStyle w:val="150"/>
        <w:overflowPunct/>
        <w:autoSpaceDE/>
        <w:autoSpaceDN/>
        <w:adjustRightInd/>
        <w:spacing w:after="120"/>
        <w:ind w:firstLine="0" w:firstLineChars="0"/>
        <w:textAlignment w:val="auto"/>
        <w:rPr>
          <w:rFonts w:hint="default" w:eastAsia="宋体"/>
          <w:b w:val="0"/>
          <w:bCs/>
          <w:color w:val="0070C0"/>
          <w:u w:val="none"/>
          <w:lang w:val="en-US" w:eastAsia="zh-CN"/>
        </w:rPr>
      </w:pPr>
      <w:r>
        <w:rPr>
          <w:rFonts w:hint="eastAsia" w:eastAsia="宋体"/>
          <w:b w:val="0"/>
          <w:bCs/>
          <w:color w:val="0070C0"/>
          <w:u w:val="none"/>
          <w:lang w:val="en-US" w:eastAsia="zh-CN"/>
        </w:rPr>
        <w:t>Option 1: Network indication, after indication, UE can skip the neighbouring cell measurement</w:t>
      </w:r>
    </w:p>
    <w:p w14:paraId="0E71F48E">
      <w:pPr>
        <w:pStyle w:val="150"/>
        <w:overflowPunct/>
        <w:autoSpaceDE/>
        <w:autoSpaceDN/>
        <w:adjustRightInd/>
        <w:spacing w:after="120"/>
        <w:ind w:firstLine="0" w:firstLineChars="0"/>
        <w:textAlignment w:val="auto"/>
        <w:rPr>
          <w:rFonts w:hint="default" w:eastAsia="宋体"/>
          <w:b w:val="0"/>
          <w:bCs/>
          <w:color w:val="0070C0"/>
          <w:u w:val="none"/>
          <w:lang w:val="en-US" w:eastAsia="zh-CN"/>
        </w:rPr>
      </w:pPr>
      <w:r>
        <w:rPr>
          <w:rFonts w:hint="eastAsia" w:eastAsia="宋体"/>
          <w:b w:val="0"/>
          <w:bCs/>
          <w:color w:val="0070C0"/>
          <w:u w:val="none"/>
          <w:lang w:val="en-US" w:eastAsia="zh-CN"/>
        </w:rPr>
        <w:t>Option 2:  Network indication and RSRP condition, if fulfilled by UE, UE can skip the neighbouring cell measurement</w:t>
      </w:r>
    </w:p>
    <w:p w14:paraId="66099EE9">
      <w:pPr>
        <w:rPr>
          <w:rFonts w:hint="eastAsia" w:eastAsia="宋体"/>
          <w:color w:val="0070C0"/>
          <w:szCs w:val="24"/>
          <w:highlight w:val="yellow"/>
          <w:lang w:val="en-US" w:eastAsia="zh-CN"/>
        </w:rPr>
      </w:pPr>
      <w:r>
        <w:rPr>
          <w:rFonts w:hint="eastAsia" w:eastAsia="宋体"/>
          <w:color w:val="0070C0"/>
          <w:szCs w:val="24"/>
          <w:highlight w:val="yellow"/>
          <w:lang w:val="en-US" w:eastAsia="zh-CN"/>
        </w:rPr>
        <w:t>Tentative agreement:</w:t>
      </w:r>
    </w:p>
    <w:p w14:paraId="36B42AA4">
      <w:pPr>
        <w:rPr>
          <w:rFonts w:hint="eastAsia" w:eastAsia="宋体"/>
          <w:color w:val="0070C0"/>
          <w:szCs w:val="24"/>
          <w:highlight w:val="yellow"/>
          <w:lang w:val="en-US" w:eastAsia="zh-CN"/>
        </w:rPr>
      </w:pPr>
      <w:r>
        <w:rPr>
          <w:rFonts w:hint="eastAsia" w:eastAsia="宋体"/>
          <w:color w:val="0070C0"/>
          <w:szCs w:val="24"/>
          <w:highlight w:val="yellow"/>
          <w:lang w:val="en-US" w:eastAsia="zh-CN"/>
        </w:rPr>
        <w:t xml:space="preserve">UE </w:t>
      </w:r>
      <w:r>
        <w:rPr>
          <w:rFonts w:hint="eastAsia"/>
          <w:color w:val="0070C0"/>
          <w:szCs w:val="24"/>
          <w:highlight w:val="yellow"/>
          <w:lang w:val="en-US" w:eastAsia="zh-CN"/>
        </w:rPr>
        <w:t xml:space="preserve">shall </w:t>
      </w:r>
      <w:r>
        <w:rPr>
          <w:rFonts w:hint="eastAsia" w:eastAsia="宋体"/>
          <w:color w:val="0070C0"/>
          <w:szCs w:val="24"/>
          <w:highlight w:val="yellow"/>
          <w:lang w:val="en-US" w:eastAsia="zh-CN"/>
        </w:rPr>
        <w:t xml:space="preserve">skip the neighbour cell measurement of {SCC and/or CC with deactivated SCell} by network </w:t>
      </w:r>
      <w:r>
        <w:rPr>
          <w:rFonts w:hint="eastAsia"/>
          <w:color w:val="0070C0"/>
          <w:szCs w:val="24"/>
          <w:highlight w:val="yellow"/>
          <w:lang w:val="en-US" w:eastAsia="zh-CN"/>
        </w:rPr>
        <w:t>indication</w:t>
      </w:r>
      <w:r>
        <w:rPr>
          <w:rFonts w:hint="eastAsia" w:eastAsia="宋体"/>
          <w:color w:val="0070C0"/>
          <w:szCs w:val="24"/>
          <w:highlight w:val="yellow"/>
          <w:lang w:val="en-US" w:eastAsia="zh-CN"/>
        </w:rPr>
        <w:t>.</w:t>
      </w:r>
    </w:p>
    <w:p w14:paraId="68F3FA49">
      <w:pPr>
        <w:rPr>
          <w:rFonts w:hint="default" w:eastAsia="宋体"/>
          <w:color w:val="0070C0"/>
          <w:szCs w:val="24"/>
          <w:highlight w:val="yellow"/>
          <w:lang w:val="en-US" w:eastAsia="zh-CN"/>
        </w:rPr>
      </w:pPr>
      <w:r>
        <w:rPr>
          <w:rFonts w:hint="eastAsia"/>
          <w:color w:val="0070C0"/>
          <w:szCs w:val="24"/>
          <w:highlight w:val="yellow"/>
          <w:lang w:val="en-US" w:eastAsia="zh-CN"/>
        </w:rPr>
        <w:t>FFS RSRP condition is needed or not</w:t>
      </w:r>
    </w:p>
    <w:p w14:paraId="5D44E228">
      <w:pPr>
        <w:rPr>
          <w:rFonts w:hint="eastAsia"/>
          <w:color w:val="0070C0"/>
          <w:szCs w:val="24"/>
          <w:highlight w:val="yellow"/>
          <w:lang w:val="en-US" w:eastAsia="zh-CN"/>
        </w:rPr>
      </w:pPr>
      <w:r>
        <w:rPr>
          <w:rFonts w:hint="eastAsia"/>
          <w:color w:val="0070C0"/>
          <w:szCs w:val="24"/>
          <w:highlight w:val="yellow"/>
          <w:lang w:val="en-US" w:eastAsia="zh-CN"/>
        </w:rPr>
        <w:t>FFS RRC and/or MAC-CE level</w:t>
      </w:r>
    </w:p>
    <w:p w14:paraId="66ADB8EA">
      <w:pPr>
        <w:rPr>
          <w:rFonts w:hint="default"/>
          <w:color w:val="0070C0"/>
          <w:szCs w:val="24"/>
          <w:highlight w:val="yellow"/>
          <w:lang w:val="en-US" w:eastAsia="zh-CN"/>
        </w:rPr>
      </w:pPr>
    </w:p>
    <w:p w14:paraId="00BE99D6">
      <w:pPr>
        <w:rPr>
          <w:b/>
          <w:color w:val="0070C0"/>
          <w:u w:val="single"/>
          <w:lang w:val="en-US" w:eastAsia="zh-CN"/>
        </w:rPr>
      </w:pPr>
      <w:r>
        <w:rPr>
          <w:rFonts w:hint="eastAsia"/>
          <w:b/>
          <w:color w:val="0070C0"/>
          <w:u w:val="single"/>
          <w:lang w:val="en-US" w:eastAsia="zh-CN"/>
        </w:rPr>
        <w:t>Issue 2-1-1: Test applicability rule</w:t>
      </w:r>
    </w:p>
    <w:p w14:paraId="6C95397D">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218AADA3">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(LGE, CMCC, ZTE)</w:t>
      </w:r>
    </w:p>
    <w:p w14:paraId="7423EBB3">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UE is only required to be tested in one of the supported test configurations</w:t>
      </w:r>
    </w:p>
    <w:p w14:paraId="1A1718C0">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 xml:space="preserve">UE is only required to be tested in one with smallest aggregated channel bandwidth from supported band combinations which is composed of CCs </w:t>
      </w:r>
      <w:r>
        <w:rPr>
          <w:rFonts w:ascii="Arial" w:hAnsi="Arial" w:eastAsia="宋体" w:cs="Arial"/>
          <w:bCs/>
          <w:color w:val="0570C0"/>
          <w:lang w:val="en-US" w:eastAsia="zh-CN"/>
        </w:rPr>
        <w:t>≥</w:t>
      </w:r>
      <w:r>
        <w:rPr>
          <w:rFonts w:hint="eastAsia" w:eastAsia="宋体"/>
          <w:bCs/>
          <w:color w:val="0570C0"/>
          <w:lang w:val="en-US" w:eastAsia="zh-CN"/>
        </w:rPr>
        <w:t xml:space="preserve"> the bandwidth (BW</w:t>
      </w:r>
      <w:r>
        <w:rPr>
          <w:rFonts w:hint="eastAsia" w:eastAsia="宋体"/>
          <w:bCs/>
          <w:color w:val="0570C0"/>
          <w:vertAlign w:val="subscript"/>
          <w:lang w:val="en-US" w:eastAsia="zh-CN"/>
        </w:rPr>
        <w:t>channel</w:t>
      </w:r>
      <w:r>
        <w:rPr>
          <w:rFonts w:hint="eastAsia" w:eastAsia="宋体"/>
          <w:bCs/>
          <w:color w:val="0570C0"/>
          <w:lang w:val="en-US" w:eastAsia="zh-CN"/>
        </w:rPr>
        <w:t>) defined in each test configuration</w:t>
      </w:r>
    </w:p>
    <w:p w14:paraId="66E7B12E">
      <w:pPr>
        <w:pStyle w:val="150"/>
        <w:numPr>
          <w:ilvl w:val="1"/>
          <w:numId w:val="4"/>
        </w:numPr>
        <w:overflowPunct/>
        <w:autoSpaceDE/>
        <w:autoSpaceDN/>
        <w:adjustRightInd/>
        <w:spacing w:after="120"/>
        <w:ind w:left="1440" w:leftChars="0" w:firstLineChars="0"/>
        <w:textAlignment w:val="auto"/>
        <w:rPr>
          <w:rFonts w:eastAsia="宋体"/>
          <w:bCs/>
          <w:color w:val="0570C0"/>
          <w:lang w:val="en-US" w:eastAsia="zh-CN"/>
        </w:rPr>
      </w:pPr>
      <w:r>
        <w:rPr>
          <w:rFonts w:hint="eastAsia" w:eastAsia="宋体"/>
          <w:bCs/>
          <w:color w:val="0570C0"/>
          <w:lang w:val="en-US" w:eastAsia="zh-CN"/>
        </w:rPr>
        <w:t>Proposal 2: (CMCC)</w:t>
      </w:r>
    </w:p>
    <w:p w14:paraId="14259C90">
      <w:pPr>
        <w:pStyle w:val="150"/>
        <w:numPr>
          <w:ilvl w:val="2"/>
          <w:numId w:val="4"/>
        </w:numPr>
        <w:overflowPunct/>
        <w:autoSpaceDE/>
        <w:autoSpaceDN/>
        <w:adjustRightInd/>
        <w:spacing w:after="120"/>
        <w:ind w:left="1860" w:leftChars="0" w:firstLineChars="0"/>
        <w:textAlignment w:val="auto"/>
        <w:rPr>
          <w:rFonts w:eastAsia="宋体"/>
          <w:bCs/>
          <w:color w:val="0570C0"/>
          <w:lang w:val="en-US" w:eastAsia="zh-CN"/>
        </w:rPr>
      </w:pPr>
      <w:r>
        <w:rPr>
          <w:rFonts w:hint="eastAsia" w:eastAsia="宋体"/>
          <w:bCs/>
          <w:color w:val="0570C0"/>
          <w:lang w:val="en-US" w:eastAsia="zh-CN"/>
        </w:rPr>
        <w:t>Test configuration for NR PCell and test configuration for NR SCell shall be chosen independently</w:t>
      </w:r>
    </w:p>
    <w:p w14:paraId="0C50F4F0">
      <w:pPr>
        <w:pStyle w:val="150"/>
        <w:numPr>
          <w:ilvl w:val="1"/>
          <w:numId w:val="4"/>
        </w:numPr>
        <w:overflowPunct/>
        <w:autoSpaceDE/>
        <w:autoSpaceDN/>
        <w:adjustRightInd/>
        <w:spacing w:after="120"/>
        <w:ind w:left="1440" w:leftChars="0" w:firstLineChars="0"/>
        <w:textAlignment w:val="auto"/>
        <w:rPr>
          <w:rFonts w:eastAsia="宋体"/>
          <w:bCs/>
          <w:color w:val="0570C0"/>
          <w:lang w:val="en-US" w:eastAsia="zh-CN"/>
        </w:rPr>
      </w:pPr>
      <w:r>
        <w:rPr>
          <w:rFonts w:hint="eastAsia" w:eastAsia="宋体"/>
          <w:bCs/>
          <w:color w:val="0570C0"/>
          <w:lang w:val="en-US" w:eastAsia="zh-CN"/>
        </w:rPr>
        <w:t>Proposal 3: (HW)</w:t>
      </w:r>
    </w:p>
    <w:p w14:paraId="40350928">
      <w:pPr>
        <w:pStyle w:val="150"/>
        <w:numPr>
          <w:ilvl w:val="2"/>
          <w:numId w:val="4"/>
        </w:numPr>
        <w:overflowPunct/>
        <w:autoSpaceDE/>
        <w:autoSpaceDN/>
        <w:adjustRightInd/>
        <w:spacing w:after="120"/>
        <w:ind w:left="1860" w:firstLineChars="0"/>
        <w:textAlignment w:val="auto"/>
        <w:rPr>
          <w:rFonts w:hint="eastAsia" w:eastAsia="宋体"/>
          <w:bCs/>
          <w:color w:val="0570C0"/>
          <w:lang w:val="en-US" w:eastAsia="zh-CN"/>
        </w:rPr>
      </w:pPr>
      <w:r>
        <w:rPr>
          <w:rFonts w:hint="eastAsia" w:eastAsia="宋体"/>
          <w:bCs/>
          <w:color w:val="0570C0"/>
          <w:lang w:val="en-GB" w:eastAsia="zh-CN"/>
        </w:rPr>
        <w:t>UE is required to be tested in one of the supported test configurations randomly</w:t>
      </w:r>
    </w:p>
    <w:p w14:paraId="7B5EFE2E">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46936445">
      <w:pPr>
        <w:pStyle w:val="150"/>
        <w:numPr>
          <w:ilvl w:val="1"/>
          <w:numId w:val="4"/>
        </w:numPr>
        <w:overflowPunct/>
        <w:autoSpaceDE/>
        <w:autoSpaceDN/>
        <w:adjustRightInd/>
        <w:spacing w:after="120"/>
        <w:ind w:left="1440" w:leftChars="0" w:firstLineChars="0"/>
        <w:textAlignment w:val="auto"/>
        <w:rPr>
          <w:rFonts w:hint="eastAsia" w:eastAsia="宋体"/>
          <w:bCs/>
          <w:color w:val="0570C0"/>
          <w:lang w:val="en-US" w:eastAsia="zh-CN"/>
        </w:rPr>
      </w:pPr>
      <w:r>
        <w:rPr>
          <w:rFonts w:hint="eastAsia" w:eastAsia="宋体"/>
          <w:bCs/>
          <w:color w:val="0570C0"/>
          <w:lang w:val="en-US" w:eastAsia="zh-CN"/>
        </w:rPr>
        <w:t>Test configuration for NR PCell and test configuration for NR SCell shall be chosen independently</w:t>
      </w:r>
    </w:p>
    <w:p w14:paraId="4FBCF682">
      <w:pPr>
        <w:pStyle w:val="150"/>
        <w:numPr>
          <w:ilvl w:val="1"/>
          <w:numId w:val="4"/>
        </w:numPr>
        <w:overflowPunct/>
        <w:autoSpaceDE/>
        <w:autoSpaceDN/>
        <w:adjustRightInd/>
        <w:spacing w:after="120"/>
        <w:ind w:left="1440" w:leftChars="0" w:firstLineChars="0"/>
        <w:textAlignment w:val="auto"/>
        <w:rPr>
          <w:rFonts w:hint="eastAsia" w:eastAsia="宋体"/>
          <w:bCs/>
          <w:color w:val="0570C0"/>
          <w:lang w:val="en-US" w:eastAsia="zh-CN"/>
        </w:rPr>
      </w:pPr>
      <w:r>
        <w:rPr>
          <w:rFonts w:hint="eastAsia" w:eastAsia="宋体"/>
          <w:bCs/>
          <w:color w:val="0570C0"/>
          <w:lang w:val="en-US" w:eastAsia="zh-CN"/>
        </w:rPr>
        <w:t>UE is only required to be tested in one of the supported test configurations</w:t>
      </w:r>
    </w:p>
    <w:p w14:paraId="6F0E6789">
      <w:pPr>
        <w:pStyle w:val="150"/>
        <w:numPr>
          <w:ilvl w:val="1"/>
          <w:numId w:val="4"/>
        </w:numPr>
        <w:overflowPunct/>
        <w:autoSpaceDE/>
        <w:autoSpaceDN/>
        <w:adjustRightInd/>
        <w:spacing w:after="120"/>
        <w:ind w:left="1440" w:leftChars="0" w:firstLineChars="0"/>
        <w:textAlignment w:val="auto"/>
        <w:rPr>
          <w:rFonts w:hint="eastAsia" w:eastAsia="宋体"/>
          <w:bCs/>
          <w:color w:val="0570C0"/>
          <w:lang w:val="en-US" w:eastAsia="zh-CN"/>
        </w:rPr>
      </w:pPr>
      <w:r>
        <w:rPr>
          <w:rFonts w:hint="eastAsia" w:eastAsia="宋体"/>
          <w:bCs/>
          <w:color w:val="0570C0"/>
          <w:lang w:val="en-US" w:eastAsia="zh-CN"/>
        </w:rPr>
        <w:t>To be discuss:</w:t>
      </w:r>
    </w:p>
    <w:p w14:paraId="68D94981">
      <w:pPr>
        <w:pStyle w:val="150"/>
        <w:numPr>
          <w:ilvl w:val="2"/>
          <w:numId w:val="4"/>
        </w:numPr>
        <w:overflowPunct/>
        <w:autoSpaceDE/>
        <w:autoSpaceDN/>
        <w:adjustRightInd/>
        <w:spacing w:after="120"/>
        <w:ind w:left="1860" w:leftChars="0" w:firstLineChars="0"/>
        <w:textAlignment w:val="auto"/>
        <w:rPr>
          <w:rFonts w:hint="eastAsia" w:eastAsia="宋体"/>
          <w:bCs/>
          <w:color w:val="0570C0"/>
          <w:lang w:val="en-US" w:eastAsia="zh-CN"/>
        </w:rPr>
      </w:pPr>
      <w:r>
        <w:rPr>
          <w:rFonts w:hint="eastAsia" w:eastAsia="宋体"/>
          <w:bCs/>
          <w:color w:val="0570C0"/>
          <w:lang w:val="en-US" w:eastAsia="zh-CN"/>
        </w:rPr>
        <w:t>Option 1: UE is only required to be tested in one with smallest aggregated channel bandwidth from supported band combinations which is composed of CCs ≥ the bandwidth (BWchannel) defined in each test configuration</w:t>
      </w:r>
    </w:p>
    <w:p w14:paraId="59070974">
      <w:pPr>
        <w:pStyle w:val="150"/>
        <w:numPr>
          <w:ilvl w:val="2"/>
          <w:numId w:val="4"/>
        </w:numPr>
        <w:overflowPunct/>
        <w:autoSpaceDE/>
        <w:autoSpaceDN/>
        <w:adjustRightInd/>
        <w:spacing w:after="120"/>
        <w:ind w:left="1860" w:leftChars="0" w:firstLineChars="0"/>
        <w:textAlignment w:val="auto"/>
        <w:rPr>
          <w:rFonts w:hint="eastAsia" w:eastAsia="宋体"/>
          <w:bCs/>
          <w:color w:val="0570C0"/>
          <w:lang w:val="en-US" w:eastAsia="zh-CN"/>
        </w:rPr>
      </w:pPr>
      <w:r>
        <w:rPr>
          <w:rFonts w:hint="eastAsia" w:eastAsia="宋体"/>
          <w:bCs/>
          <w:color w:val="0570C0"/>
          <w:lang w:val="en-US" w:eastAsia="zh-CN"/>
        </w:rPr>
        <w:t>Option 2: Random method</w:t>
      </w:r>
    </w:p>
    <w:p w14:paraId="61CA2BB7">
      <w:pPr>
        <w:pStyle w:val="150"/>
        <w:numPr>
          <w:ilvl w:val="0"/>
          <w:numId w:val="0"/>
        </w:numPr>
        <w:overflowPunct/>
        <w:autoSpaceDE/>
        <w:autoSpaceDN/>
        <w:adjustRightInd/>
        <w:spacing w:after="120"/>
        <w:textAlignment w:val="auto"/>
        <w:rPr>
          <w:rFonts w:eastAsia="宋体"/>
          <w:color w:val="0070C0"/>
          <w:szCs w:val="24"/>
          <w:lang w:eastAsia="zh-CN"/>
        </w:rPr>
      </w:pPr>
    </w:p>
    <w:p w14:paraId="6BA7F07F">
      <w:pPr>
        <w:rPr>
          <w:rFonts w:hint="default"/>
          <w:b/>
          <w:color w:val="0070C0"/>
          <w:u w:val="single"/>
          <w:lang w:val="en-US" w:eastAsia="zh-CN"/>
        </w:rPr>
      </w:pPr>
      <w:r>
        <w:rPr>
          <w:rFonts w:hint="eastAsia"/>
          <w:b/>
          <w:color w:val="0070C0"/>
          <w:u w:val="single"/>
          <w:lang w:val="en-US" w:eastAsia="zh-CN"/>
        </w:rPr>
        <w:t>Issue 2-1-2: Test setups - TDD pattern for SCell</w:t>
      </w:r>
    </w:p>
    <w:p w14:paraId="1F7ED559">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08CB9AE5">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Reuse the legacy TDD pattern (CATT, LGE, CMCC, ZTE)</w:t>
      </w:r>
    </w:p>
    <w:p w14:paraId="48EAE4BC">
      <w:pPr>
        <w:pStyle w:val="150"/>
        <w:numPr>
          <w:ilvl w:val="2"/>
          <w:numId w:val="4"/>
        </w:numPr>
        <w:overflowPunct/>
        <w:autoSpaceDE/>
        <w:autoSpaceDN/>
        <w:adjustRightInd/>
        <w:spacing w:after="120"/>
        <w:ind w:left="1860" w:leftChars="0" w:firstLineChars="0"/>
        <w:textAlignment w:val="auto"/>
        <w:rPr>
          <w:rFonts w:eastAsia="宋体"/>
          <w:color w:val="0070C0"/>
          <w:szCs w:val="24"/>
          <w:lang w:val="en-US" w:eastAsia="zh-CN"/>
        </w:rPr>
      </w:pPr>
      <w:r>
        <w:rPr>
          <w:rFonts w:hint="eastAsia" w:eastAsia="宋体"/>
          <w:color w:val="0070C0"/>
          <w:szCs w:val="24"/>
          <w:lang w:val="en-US" w:eastAsia="zh-CN"/>
        </w:rPr>
        <w:t>Proposal 1-1: (CATT)</w:t>
      </w:r>
    </w:p>
    <w:p w14:paraId="15048703">
      <w:pPr>
        <w:pStyle w:val="150"/>
        <w:numPr>
          <w:ilvl w:val="3"/>
          <w:numId w:val="4"/>
        </w:numPr>
        <w:overflowPunct/>
        <w:autoSpaceDE/>
        <w:autoSpaceDN/>
        <w:adjustRightInd/>
        <w:spacing w:after="120"/>
        <w:ind w:left="2280" w:leftChars="0" w:firstLineChars="0"/>
        <w:textAlignment w:val="auto"/>
        <w:rPr>
          <w:rFonts w:hint="eastAsia" w:eastAsia="宋体"/>
          <w:bCs/>
          <w:color w:val="0570C0"/>
          <w:lang w:val="en-US" w:eastAsia="zh-CN"/>
        </w:rPr>
      </w:pPr>
      <w:r>
        <w:rPr>
          <w:rFonts w:hint="eastAsia" w:eastAsia="宋体"/>
          <w:bCs/>
          <w:color w:val="0570C0"/>
          <w:lang w:val="en-US" w:eastAsia="zh-CN"/>
        </w:rPr>
        <w:t>For intra-band CA, TDD pattern for SCell need to be the same with PCell.</w:t>
      </w:r>
    </w:p>
    <w:p w14:paraId="24171DCB">
      <w:pPr>
        <w:pStyle w:val="150"/>
        <w:numPr>
          <w:ilvl w:val="3"/>
          <w:numId w:val="4"/>
        </w:numPr>
        <w:overflowPunct/>
        <w:autoSpaceDE/>
        <w:autoSpaceDN/>
        <w:adjustRightInd/>
        <w:spacing w:after="120"/>
        <w:ind w:left="2280" w:leftChars="0" w:firstLineChars="0"/>
        <w:textAlignment w:val="auto"/>
        <w:rPr>
          <w:rFonts w:eastAsia="宋体"/>
          <w:bCs/>
          <w:color w:val="0570C0"/>
          <w:lang w:val="en-US" w:eastAsia="zh-CN"/>
        </w:rPr>
      </w:pPr>
      <w:r>
        <w:rPr>
          <w:rFonts w:hint="eastAsia" w:eastAsia="宋体"/>
          <w:bCs/>
          <w:color w:val="0570C0"/>
          <w:lang w:val="en-US" w:eastAsia="zh-CN"/>
        </w:rPr>
        <w:t>For inter-band CA, the pattern used in R18 ATG test cases can also be reused.</w:t>
      </w:r>
    </w:p>
    <w:p w14:paraId="71913AE0">
      <w:pPr>
        <w:pStyle w:val="150"/>
        <w:numPr>
          <w:ilvl w:val="2"/>
          <w:numId w:val="4"/>
        </w:numPr>
        <w:overflowPunct/>
        <w:autoSpaceDE/>
        <w:autoSpaceDN/>
        <w:adjustRightInd/>
        <w:spacing w:after="120"/>
        <w:ind w:left="1860" w:leftChars="0" w:firstLineChars="0"/>
        <w:textAlignment w:val="auto"/>
        <w:rPr>
          <w:rFonts w:eastAsia="宋体"/>
          <w:bCs/>
          <w:color w:val="0570C0"/>
          <w:lang w:val="en-US" w:eastAsia="zh-CN"/>
        </w:rPr>
      </w:pPr>
      <w:r>
        <w:rPr>
          <w:rFonts w:hint="eastAsia" w:eastAsia="宋体"/>
          <w:bCs/>
          <w:color w:val="0570C0"/>
          <w:lang w:val="en-US" w:eastAsia="zh-CN"/>
        </w:rPr>
        <w:t>Proposal 1-2: (ZTE)</w:t>
      </w:r>
    </w:p>
    <w:p w14:paraId="42BC245A">
      <w:pPr>
        <w:pStyle w:val="150"/>
        <w:numPr>
          <w:ilvl w:val="3"/>
          <w:numId w:val="4"/>
        </w:numPr>
        <w:overflowPunct/>
        <w:autoSpaceDE/>
        <w:autoSpaceDN/>
        <w:adjustRightInd/>
        <w:spacing w:after="120"/>
        <w:ind w:left="2280" w:leftChars="0" w:firstLineChars="0"/>
        <w:textAlignment w:val="auto"/>
        <w:rPr>
          <w:rFonts w:eastAsia="宋体"/>
          <w:bCs/>
          <w:color w:val="0570C0"/>
          <w:lang w:val="en-US" w:eastAsia="zh-CN"/>
        </w:rPr>
      </w:pPr>
      <w:r>
        <w:rPr>
          <w:rFonts w:hint="eastAsia" w:eastAsia="宋体"/>
          <w:bCs/>
          <w:color w:val="0570C0"/>
          <w:lang w:val="en-US" w:eastAsia="zh-CN"/>
        </w:rPr>
        <w:t>For TDD case, the TDD pattern for SCell could be same as PCell (ZTE)</w:t>
      </w:r>
    </w:p>
    <w:p w14:paraId="3501B6C8">
      <w:pPr>
        <w:pStyle w:val="150"/>
        <w:numPr>
          <w:ilvl w:val="1"/>
          <w:numId w:val="4"/>
        </w:numPr>
        <w:overflowPunct/>
        <w:autoSpaceDE/>
        <w:autoSpaceDN/>
        <w:adjustRightInd/>
        <w:spacing w:after="120"/>
        <w:ind w:left="1440" w:leftChars="0" w:firstLineChars="0"/>
        <w:textAlignment w:val="auto"/>
        <w:rPr>
          <w:rFonts w:eastAsia="宋体"/>
          <w:bCs/>
          <w:color w:val="0570C0"/>
          <w:lang w:val="en-US" w:eastAsia="zh-CN"/>
        </w:rPr>
      </w:pPr>
      <w:r>
        <w:rPr>
          <w:rFonts w:hint="eastAsia" w:eastAsia="宋体"/>
          <w:bCs/>
          <w:color w:val="0570C0"/>
          <w:lang w:val="en-US" w:eastAsia="zh-CN"/>
        </w:rPr>
        <w:t>Proposal 2: RAN4 to discuss whether or not to define a new TDD pattern for ATG (HW)</w:t>
      </w:r>
    </w:p>
    <w:p w14:paraId="3C9BA19C">
      <w:pPr>
        <w:pStyle w:val="150"/>
        <w:numPr>
          <w:ilvl w:val="1"/>
          <w:numId w:val="4"/>
        </w:numPr>
        <w:overflowPunct/>
        <w:autoSpaceDE/>
        <w:autoSpaceDN/>
        <w:adjustRightInd/>
        <w:spacing w:after="120"/>
        <w:ind w:left="1440" w:leftChars="0" w:firstLineChars="0"/>
        <w:textAlignment w:val="auto"/>
        <w:rPr>
          <w:rFonts w:eastAsia="宋体"/>
          <w:bCs/>
          <w:color w:val="0570C0"/>
          <w:lang w:val="en-US" w:eastAsia="zh-CN"/>
        </w:rPr>
      </w:pPr>
      <w:r>
        <w:rPr>
          <w:rFonts w:hint="eastAsia" w:eastAsia="宋体"/>
          <w:bCs/>
          <w:color w:val="0570C0"/>
          <w:lang w:val="en-US" w:eastAsia="zh-CN"/>
        </w:rPr>
        <w:t xml:space="preserve">Proposal 3: Define all </w:t>
      </w:r>
      <w:r>
        <w:rPr>
          <w:rFonts w:hint="default" w:eastAsia="宋体"/>
          <w:bCs/>
          <w:color w:val="0570C0"/>
          <w:lang w:val="en-US" w:eastAsia="zh-CN"/>
        </w:rPr>
        <w:t>‘</w:t>
      </w:r>
      <w:r>
        <w:rPr>
          <w:rFonts w:hint="eastAsia" w:eastAsia="宋体"/>
          <w:bCs/>
          <w:color w:val="0570C0"/>
          <w:lang w:val="en-US" w:eastAsia="zh-CN"/>
        </w:rPr>
        <w:t>D</w:t>
      </w:r>
      <w:r>
        <w:rPr>
          <w:rFonts w:hint="default" w:eastAsia="宋体"/>
          <w:bCs/>
          <w:color w:val="0570C0"/>
          <w:lang w:val="en-US" w:eastAsia="zh-CN"/>
        </w:rPr>
        <w:t>’</w:t>
      </w:r>
      <w:r>
        <w:rPr>
          <w:rFonts w:hint="eastAsia" w:eastAsia="宋体"/>
          <w:bCs/>
          <w:color w:val="0570C0"/>
          <w:lang w:val="en-US" w:eastAsia="zh-CN"/>
        </w:rPr>
        <w:t xml:space="preserve"> slot TDD pattern for ATG (Ericsson)</w:t>
      </w:r>
    </w:p>
    <w:p w14:paraId="3FD80BC8">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031EA8A9">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Check whether Proposal 1 can be agreed.</w:t>
      </w:r>
    </w:p>
    <w:p w14:paraId="69CEF771">
      <w:pPr>
        <w:rPr>
          <w:b/>
          <w:color w:val="0070C0"/>
          <w:u w:val="single"/>
          <w:lang w:val="en-US" w:eastAsia="zh-CN"/>
        </w:rPr>
      </w:pPr>
    </w:p>
    <w:p w14:paraId="0E1629A1">
      <w:pPr>
        <w:rPr>
          <w:b/>
          <w:color w:val="0070C0"/>
          <w:u w:val="single"/>
          <w:lang w:val="en-US" w:eastAsia="zh-CN"/>
        </w:rPr>
      </w:pPr>
      <w:r>
        <w:rPr>
          <w:rFonts w:hint="eastAsia"/>
          <w:b/>
          <w:color w:val="0070C0"/>
          <w:u w:val="single"/>
          <w:lang w:val="en-US" w:eastAsia="zh-CN"/>
        </w:rPr>
        <w:t>Issue 2-1-3: Test method and scaling factor for UE with antenna array</w:t>
      </w:r>
    </w:p>
    <w:p w14:paraId="61F5C110">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0F916B4D">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(CATT, CMCC, HW, ZTE, Ericsson)</w:t>
      </w:r>
    </w:p>
    <w:p w14:paraId="2A084E38">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RAN4 to apply scaling factor = 1 for antenna array related test requirements and use conductive test method.</w:t>
      </w:r>
    </w:p>
    <w:p w14:paraId="7AFCE79C">
      <w:pPr>
        <w:pStyle w:val="150"/>
        <w:numPr>
          <w:ilvl w:val="1"/>
          <w:numId w:val="4"/>
        </w:numPr>
        <w:overflowPunct/>
        <w:autoSpaceDE/>
        <w:autoSpaceDN/>
        <w:adjustRightInd/>
        <w:spacing w:after="120"/>
        <w:ind w:left="1440" w:firstLineChars="0"/>
        <w:textAlignment w:val="auto"/>
        <w:rPr>
          <w:rFonts w:hint="eastAsia" w:eastAsia="宋体"/>
          <w:bCs/>
          <w:color w:val="0570C0"/>
          <w:lang w:val="en-US" w:eastAsia="zh-CN"/>
        </w:rPr>
      </w:pPr>
      <w:r>
        <w:rPr>
          <w:rFonts w:hint="eastAsia" w:eastAsia="宋体"/>
          <w:bCs/>
          <w:color w:val="0570C0"/>
          <w:lang w:val="en-US" w:eastAsia="zh-CN"/>
        </w:rPr>
        <w:t>Proposal 2: (LGE)</w:t>
      </w:r>
    </w:p>
    <w:p w14:paraId="51279A5B">
      <w:pPr>
        <w:pStyle w:val="150"/>
        <w:numPr>
          <w:ilvl w:val="2"/>
          <w:numId w:val="4"/>
        </w:numPr>
        <w:overflowPunct/>
        <w:autoSpaceDE/>
        <w:autoSpaceDN/>
        <w:adjustRightInd/>
        <w:spacing w:after="120"/>
        <w:ind w:left="1860" w:leftChars="0" w:firstLineChars="0"/>
        <w:textAlignment w:val="auto"/>
        <w:rPr>
          <w:rFonts w:hint="eastAsia" w:eastAsia="宋体"/>
          <w:bCs/>
          <w:color w:val="0570C0"/>
          <w:lang w:val="en-US" w:eastAsia="zh-CN"/>
        </w:rPr>
      </w:pPr>
      <w:r>
        <w:rPr>
          <w:rFonts w:hint="eastAsia" w:eastAsia="宋体"/>
          <w:bCs/>
          <w:color w:val="0570C0"/>
          <w:lang w:val="en-US" w:eastAsia="ko-KR"/>
        </w:rPr>
        <w:t>RAN4 not to consider separate test cases for ATG UE to support common Rx beam</w:t>
      </w:r>
    </w:p>
    <w:p w14:paraId="2F82D51D">
      <w:pPr>
        <w:pStyle w:val="150"/>
        <w:numPr>
          <w:ilvl w:val="1"/>
          <w:numId w:val="4"/>
        </w:numPr>
        <w:overflowPunct/>
        <w:autoSpaceDE/>
        <w:autoSpaceDN/>
        <w:adjustRightInd/>
        <w:spacing w:after="120"/>
        <w:ind w:left="1440" w:leftChars="0" w:firstLineChars="0"/>
        <w:textAlignment w:val="auto"/>
        <w:rPr>
          <w:rFonts w:hint="eastAsia" w:eastAsia="宋体"/>
          <w:bCs/>
          <w:color w:val="0570C0"/>
          <w:lang w:val="en-US" w:eastAsia="zh-CN"/>
        </w:rPr>
      </w:pPr>
      <w:r>
        <w:rPr>
          <w:rFonts w:hint="eastAsia" w:eastAsia="宋体"/>
          <w:bCs/>
          <w:color w:val="0570C0"/>
          <w:lang w:val="en-US" w:eastAsia="zh-CN"/>
        </w:rPr>
        <w:t>Proposal 3: (Ericsson)</w:t>
      </w:r>
    </w:p>
    <w:p w14:paraId="1F58310E">
      <w:pPr>
        <w:pStyle w:val="150"/>
        <w:numPr>
          <w:ilvl w:val="2"/>
          <w:numId w:val="4"/>
        </w:numPr>
        <w:overflowPunct/>
        <w:autoSpaceDE/>
        <w:autoSpaceDN/>
        <w:adjustRightInd/>
        <w:spacing w:after="120"/>
        <w:ind w:left="1860" w:leftChars="0" w:firstLineChars="0"/>
        <w:textAlignment w:val="auto"/>
        <w:rPr>
          <w:rFonts w:hint="eastAsia" w:eastAsia="宋体"/>
          <w:bCs/>
          <w:color w:val="0570C0"/>
          <w:lang w:val="en-US" w:eastAsia="zh-CN"/>
        </w:rPr>
      </w:pPr>
      <w:r>
        <w:rPr>
          <w:rFonts w:hint="eastAsia" w:eastAsia="宋体"/>
          <w:bCs/>
          <w:color w:val="0570C0"/>
          <w:lang w:val="en-US" w:eastAsia="zh-CN"/>
        </w:rPr>
        <w:t>Test parameters, test requirements for UE with antenna array on both PCC and SCC can reuse the NR-CA baseline test parameters and requirements</w:t>
      </w:r>
    </w:p>
    <w:p w14:paraId="37E3C412">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69C6008D">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bCs/>
          <w:color w:val="0570C0"/>
          <w:lang w:val="en-US" w:eastAsia="zh-CN"/>
        </w:rPr>
        <w:t>Use conductive test method, apply scaling factor (including N1, K</w:t>
      </w:r>
      <w:r>
        <w:rPr>
          <w:rFonts w:hint="eastAsia" w:eastAsia="宋体"/>
          <w:bCs/>
          <w:color w:val="0570C0"/>
          <w:vertAlign w:val="subscript"/>
          <w:lang w:val="en-US" w:eastAsia="zh-CN"/>
        </w:rPr>
        <w:t>layer1</w:t>
      </w:r>
      <w:r>
        <w:rPr>
          <w:rFonts w:hint="eastAsia" w:eastAsia="宋体"/>
          <w:bCs/>
          <w:color w:val="0570C0"/>
          <w:vertAlign w:val="baseline"/>
          <w:lang w:val="en-US" w:eastAsia="zh-CN"/>
        </w:rPr>
        <w:t xml:space="preserve"> and P</w:t>
      </w:r>
      <w:r>
        <w:rPr>
          <w:rFonts w:hint="eastAsia" w:eastAsia="宋体"/>
          <w:bCs/>
          <w:color w:val="0570C0"/>
          <w:lang w:val="en-US" w:eastAsia="zh-CN"/>
        </w:rPr>
        <w:t>) = 1 for antenna array related test requirements</w:t>
      </w:r>
    </w:p>
    <w:p w14:paraId="6D03BDCD">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bCs/>
          <w:color w:val="0570C0"/>
          <w:lang w:val="en-US" w:eastAsia="zh-CN"/>
        </w:rPr>
        <w:t>N</w:t>
      </w:r>
      <w:r>
        <w:rPr>
          <w:rFonts w:hint="eastAsia" w:eastAsia="宋体"/>
          <w:bCs/>
          <w:color w:val="0570C0"/>
          <w:lang w:val="en-US" w:eastAsia="ko-KR"/>
        </w:rPr>
        <w:t>ot to consider separate test cases for ATG UE to support common Rx beam</w:t>
      </w:r>
    </w:p>
    <w:p w14:paraId="7F8872B3">
      <w:pPr>
        <w:rPr>
          <w:b/>
          <w:color w:val="0070C0"/>
          <w:u w:val="single"/>
          <w:lang w:val="en-US" w:eastAsia="zh-CN"/>
        </w:rPr>
      </w:pPr>
    </w:p>
    <w:sectPr>
      <w:footnotePr>
        <w:numRestart w:val="eachSect"/>
      </w:footnotePr>
      <w:pgSz w:w="11906" w:h="16838"/>
      <w:pgMar w:top="1134" w:right="1134" w:bottom="1417" w:left="1134" w:header="850" w:footer="340" w:gutter="0"/>
      <w:cols w:space="0" w:num="1"/>
      <w:formProt w:val="0"/>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155"/>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5101505E"/>
    <w:multiLevelType w:val="multilevel"/>
    <w:tmpl w:val="5101505E"/>
    <w:lvl w:ilvl="0" w:tentative="0">
      <w:start w:val="1"/>
      <w:numFmt w:val="decimal"/>
      <w:pStyle w:val="15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tabs>
          <w:tab w:val="left" w:pos="0"/>
        </w:tabs>
        <w:ind w:left="936" w:hanging="360"/>
      </w:pPr>
      <w:rPr>
        <w:rFonts w:hint="default" w:ascii="Symbol" w:hAnsi="Symbol"/>
      </w:rPr>
    </w:lvl>
    <w:lvl w:ilvl="1" w:tentative="0">
      <w:start w:val="1"/>
      <w:numFmt w:val="bullet"/>
      <w:lvlText w:val="o"/>
      <w:lvlJc w:val="left"/>
      <w:pPr>
        <w:tabs>
          <w:tab w:val="left" w:pos="0"/>
        </w:tabs>
        <w:ind w:left="1656" w:hanging="360"/>
      </w:pPr>
      <w:rPr>
        <w:rFonts w:hint="default" w:ascii="Courier New" w:hAnsi="Courier New" w:cs="Courier New"/>
      </w:rPr>
    </w:lvl>
    <w:lvl w:ilvl="2" w:tentative="0">
      <w:start w:val="1"/>
      <w:numFmt w:val="bullet"/>
      <w:lvlText w:val=""/>
      <w:lvlJc w:val="left"/>
      <w:pPr>
        <w:tabs>
          <w:tab w:val="left" w:pos="0"/>
        </w:tabs>
        <w:ind w:left="2376" w:hanging="360"/>
      </w:pPr>
      <w:rPr>
        <w:rFonts w:hint="default" w:ascii="Wingdings" w:hAnsi="Wingdings"/>
      </w:rPr>
    </w:lvl>
    <w:lvl w:ilvl="3" w:tentative="0">
      <w:start w:val="1"/>
      <w:numFmt w:val="bullet"/>
      <w:lvlText w:val=""/>
      <w:lvlJc w:val="left"/>
      <w:pPr>
        <w:tabs>
          <w:tab w:val="left" w:pos="0"/>
        </w:tabs>
        <w:ind w:left="3096" w:hanging="360"/>
      </w:pPr>
      <w:rPr>
        <w:rFonts w:hint="default" w:ascii="Symbol" w:hAnsi="Symbol"/>
      </w:rPr>
    </w:lvl>
    <w:lvl w:ilvl="4" w:tentative="0">
      <w:start w:val="1"/>
      <w:numFmt w:val="bullet"/>
      <w:lvlText w:val="o"/>
      <w:lvlJc w:val="left"/>
      <w:pPr>
        <w:tabs>
          <w:tab w:val="left" w:pos="0"/>
        </w:tabs>
        <w:ind w:left="3816" w:hanging="360"/>
      </w:pPr>
      <w:rPr>
        <w:rFonts w:hint="default" w:ascii="Courier New" w:hAnsi="Courier New" w:cs="Courier New"/>
      </w:rPr>
    </w:lvl>
    <w:lvl w:ilvl="5" w:tentative="0">
      <w:start w:val="1"/>
      <w:numFmt w:val="bullet"/>
      <w:lvlText w:val=""/>
      <w:lvlJc w:val="left"/>
      <w:pPr>
        <w:tabs>
          <w:tab w:val="left" w:pos="0"/>
        </w:tabs>
        <w:ind w:left="4536" w:hanging="360"/>
      </w:pPr>
      <w:rPr>
        <w:rFonts w:hint="default" w:ascii="Wingdings" w:hAnsi="Wingdings"/>
      </w:rPr>
    </w:lvl>
    <w:lvl w:ilvl="6" w:tentative="0">
      <w:start w:val="1"/>
      <w:numFmt w:val="bullet"/>
      <w:lvlText w:val=""/>
      <w:lvlJc w:val="left"/>
      <w:pPr>
        <w:tabs>
          <w:tab w:val="left" w:pos="0"/>
        </w:tabs>
        <w:ind w:left="5256" w:hanging="360"/>
      </w:pPr>
      <w:rPr>
        <w:rFonts w:hint="default" w:ascii="Symbol" w:hAnsi="Symbol"/>
      </w:rPr>
    </w:lvl>
    <w:lvl w:ilvl="7" w:tentative="0">
      <w:start w:val="1"/>
      <w:numFmt w:val="bullet"/>
      <w:lvlText w:val="o"/>
      <w:lvlJc w:val="left"/>
      <w:pPr>
        <w:tabs>
          <w:tab w:val="left" w:pos="0"/>
        </w:tabs>
        <w:ind w:left="5976" w:hanging="360"/>
      </w:pPr>
      <w:rPr>
        <w:rFonts w:hint="default" w:ascii="Courier New" w:hAnsi="Courier New" w:cs="Courier New"/>
      </w:rPr>
    </w:lvl>
    <w:lvl w:ilvl="8" w:tentative="0">
      <w:start w:val="1"/>
      <w:numFmt w:val="bullet"/>
      <w:lvlText w:val=""/>
      <w:lvlJc w:val="left"/>
      <w:pPr>
        <w:tabs>
          <w:tab w:val="left" w:pos="0"/>
        </w:tabs>
        <w:ind w:left="6696" w:hanging="360"/>
      </w:pPr>
      <w:rPr>
        <w:rFonts w:hint="default" w:ascii="Wingdings" w:hAnsi="Wingdings"/>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7I0MTS2MDM3MTK0tDBV0lEKTi0uzszPAykwrAUAl1EJNywAAAA="/>
  </w:docVars>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34E5"/>
    <w:rsid w:val="00107927"/>
    <w:rsid w:val="00110E26"/>
    <w:rsid w:val="00111321"/>
    <w:rsid w:val="001128E7"/>
    <w:rsid w:val="00117BD6"/>
    <w:rsid w:val="001206C2"/>
    <w:rsid w:val="00121978"/>
    <w:rsid w:val="00123422"/>
    <w:rsid w:val="00124B6A"/>
    <w:rsid w:val="00130462"/>
    <w:rsid w:val="00136D4C"/>
    <w:rsid w:val="00142538"/>
    <w:rsid w:val="00142BB9"/>
    <w:rsid w:val="001433CD"/>
    <w:rsid w:val="00144F96"/>
    <w:rsid w:val="00150DF2"/>
    <w:rsid w:val="00151EAC"/>
    <w:rsid w:val="00153528"/>
    <w:rsid w:val="00154E68"/>
    <w:rsid w:val="00162548"/>
    <w:rsid w:val="00172183"/>
    <w:rsid w:val="001751AB"/>
    <w:rsid w:val="00175A3F"/>
    <w:rsid w:val="00177423"/>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0535"/>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E60F8"/>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216D"/>
    <w:rsid w:val="004A495F"/>
    <w:rsid w:val="004A7544"/>
    <w:rsid w:val="004B6B0F"/>
    <w:rsid w:val="004C54E5"/>
    <w:rsid w:val="004C7DC8"/>
    <w:rsid w:val="004D21B0"/>
    <w:rsid w:val="004D66BB"/>
    <w:rsid w:val="004D737D"/>
    <w:rsid w:val="004E2659"/>
    <w:rsid w:val="004E39EE"/>
    <w:rsid w:val="004E475C"/>
    <w:rsid w:val="004E56E0"/>
    <w:rsid w:val="004E7329"/>
    <w:rsid w:val="004E774B"/>
    <w:rsid w:val="004F0A1A"/>
    <w:rsid w:val="004F2CB0"/>
    <w:rsid w:val="005017F7"/>
    <w:rsid w:val="00501FA7"/>
    <w:rsid w:val="005034DC"/>
    <w:rsid w:val="00505BFA"/>
    <w:rsid w:val="005071B4"/>
    <w:rsid w:val="00507687"/>
    <w:rsid w:val="005117A9"/>
    <w:rsid w:val="00511F57"/>
    <w:rsid w:val="00515CBE"/>
    <w:rsid w:val="00515E2B"/>
    <w:rsid w:val="00517517"/>
    <w:rsid w:val="00522A7E"/>
    <w:rsid w:val="00522F20"/>
    <w:rsid w:val="00523E9B"/>
    <w:rsid w:val="005308DB"/>
    <w:rsid w:val="00530A2E"/>
    <w:rsid w:val="00530FBE"/>
    <w:rsid w:val="00533159"/>
    <w:rsid w:val="005339DB"/>
    <w:rsid w:val="00534C89"/>
    <w:rsid w:val="00541573"/>
    <w:rsid w:val="0054348A"/>
    <w:rsid w:val="00571777"/>
    <w:rsid w:val="00572274"/>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1E99"/>
    <w:rsid w:val="006363BD"/>
    <w:rsid w:val="006412DC"/>
    <w:rsid w:val="006418C7"/>
    <w:rsid w:val="00642BC6"/>
    <w:rsid w:val="00642FDD"/>
    <w:rsid w:val="00644790"/>
    <w:rsid w:val="006501AF"/>
    <w:rsid w:val="00650DDE"/>
    <w:rsid w:val="0065253F"/>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7B39"/>
    <w:rsid w:val="006E0A73"/>
    <w:rsid w:val="006E0FEE"/>
    <w:rsid w:val="006E6C11"/>
    <w:rsid w:val="006F3D12"/>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668FE"/>
    <w:rsid w:val="007763C1"/>
    <w:rsid w:val="00777E82"/>
    <w:rsid w:val="00781218"/>
    <w:rsid w:val="00781359"/>
    <w:rsid w:val="00786921"/>
    <w:rsid w:val="007A1EAA"/>
    <w:rsid w:val="007A79FD"/>
    <w:rsid w:val="007B0B9D"/>
    <w:rsid w:val="007B26E3"/>
    <w:rsid w:val="007B5A43"/>
    <w:rsid w:val="007B5A8C"/>
    <w:rsid w:val="007B709B"/>
    <w:rsid w:val="007C1343"/>
    <w:rsid w:val="007C40ED"/>
    <w:rsid w:val="007C5EF1"/>
    <w:rsid w:val="007C7BF5"/>
    <w:rsid w:val="007D19B7"/>
    <w:rsid w:val="007D75E5"/>
    <w:rsid w:val="007D773E"/>
    <w:rsid w:val="007E066E"/>
    <w:rsid w:val="007E1356"/>
    <w:rsid w:val="007E20FC"/>
    <w:rsid w:val="007E7062"/>
    <w:rsid w:val="007F0E1E"/>
    <w:rsid w:val="007F29A7"/>
    <w:rsid w:val="008004B4"/>
    <w:rsid w:val="00805BE8"/>
    <w:rsid w:val="008076BC"/>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694A"/>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27B76"/>
    <w:rsid w:val="0093133D"/>
    <w:rsid w:val="0093276D"/>
    <w:rsid w:val="00932CA5"/>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3028"/>
    <w:rsid w:val="00B163F8"/>
    <w:rsid w:val="00B2472D"/>
    <w:rsid w:val="00B24CA0"/>
    <w:rsid w:val="00B2549F"/>
    <w:rsid w:val="00B4108D"/>
    <w:rsid w:val="00B50AC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FD1"/>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18"/>
    <w:rsid w:val="00C649BD"/>
    <w:rsid w:val="00C65891"/>
    <w:rsid w:val="00C66AC9"/>
    <w:rsid w:val="00C724D3"/>
    <w:rsid w:val="00C72951"/>
    <w:rsid w:val="00C77DD9"/>
    <w:rsid w:val="00C83BE6"/>
    <w:rsid w:val="00C85044"/>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A93"/>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68FD"/>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6542"/>
    <w:rsid w:val="00E40E90"/>
    <w:rsid w:val="00E45C7E"/>
    <w:rsid w:val="00E531EB"/>
    <w:rsid w:val="00E54874"/>
    <w:rsid w:val="00E54B6F"/>
    <w:rsid w:val="00E55ACA"/>
    <w:rsid w:val="00E57B74"/>
    <w:rsid w:val="00E65BC6"/>
    <w:rsid w:val="00E661FF"/>
    <w:rsid w:val="00E66D8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775"/>
    <w:rsid w:val="00EC74E1"/>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13B03A2"/>
    <w:rsid w:val="019B1928"/>
    <w:rsid w:val="01DB41B8"/>
    <w:rsid w:val="0274213D"/>
    <w:rsid w:val="02AF3174"/>
    <w:rsid w:val="03587A87"/>
    <w:rsid w:val="03832B7A"/>
    <w:rsid w:val="038375EC"/>
    <w:rsid w:val="03B0573C"/>
    <w:rsid w:val="044B7570"/>
    <w:rsid w:val="04F0022B"/>
    <w:rsid w:val="0555154C"/>
    <w:rsid w:val="05624F7A"/>
    <w:rsid w:val="05E01090"/>
    <w:rsid w:val="06133805"/>
    <w:rsid w:val="06B96F4F"/>
    <w:rsid w:val="06FA6D3D"/>
    <w:rsid w:val="073B391B"/>
    <w:rsid w:val="074E4245"/>
    <w:rsid w:val="08AD3699"/>
    <w:rsid w:val="09AC2471"/>
    <w:rsid w:val="09DE061D"/>
    <w:rsid w:val="0A4A77DC"/>
    <w:rsid w:val="0A94713A"/>
    <w:rsid w:val="0A9F6406"/>
    <w:rsid w:val="0B186F04"/>
    <w:rsid w:val="0B4E5A8C"/>
    <w:rsid w:val="0BA935EB"/>
    <w:rsid w:val="0C78593A"/>
    <w:rsid w:val="0C850212"/>
    <w:rsid w:val="0C967818"/>
    <w:rsid w:val="0CA447F2"/>
    <w:rsid w:val="0DF350DC"/>
    <w:rsid w:val="0E233EC8"/>
    <w:rsid w:val="0E402C43"/>
    <w:rsid w:val="0E9006B0"/>
    <w:rsid w:val="0E922575"/>
    <w:rsid w:val="0F0A04AB"/>
    <w:rsid w:val="0FEF358A"/>
    <w:rsid w:val="0FF30F6B"/>
    <w:rsid w:val="100174AB"/>
    <w:rsid w:val="10097D7D"/>
    <w:rsid w:val="10537FCE"/>
    <w:rsid w:val="10DB2168"/>
    <w:rsid w:val="10DC7C1E"/>
    <w:rsid w:val="111D6AE7"/>
    <w:rsid w:val="114B63AD"/>
    <w:rsid w:val="1271791F"/>
    <w:rsid w:val="130351FE"/>
    <w:rsid w:val="14204D87"/>
    <w:rsid w:val="1447029B"/>
    <w:rsid w:val="145C72AB"/>
    <w:rsid w:val="14753664"/>
    <w:rsid w:val="14E31512"/>
    <w:rsid w:val="15023540"/>
    <w:rsid w:val="150F669C"/>
    <w:rsid w:val="152625F6"/>
    <w:rsid w:val="15431D14"/>
    <w:rsid w:val="15F53D20"/>
    <w:rsid w:val="16383B80"/>
    <w:rsid w:val="165E2675"/>
    <w:rsid w:val="16CA5CEA"/>
    <w:rsid w:val="17192065"/>
    <w:rsid w:val="182525E8"/>
    <w:rsid w:val="187B5F6E"/>
    <w:rsid w:val="18C04157"/>
    <w:rsid w:val="18E253DF"/>
    <w:rsid w:val="19CD6A83"/>
    <w:rsid w:val="1A0205BE"/>
    <w:rsid w:val="1A9931F8"/>
    <w:rsid w:val="1B255C34"/>
    <w:rsid w:val="1BA45824"/>
    <w:rsid w:val="1C305473"/>
    <w:rsid w:val="1CCF4AF8"/>
    <w:rsid w:val="1D31706E"/>
    <w:rsid w:val="1D6447B3"/>
    <w:rsid w:val="1DF745D5"/>
    <w:rsid w:val="1E2F23E8"/>
    <w:rsid w:val="1E793AA0"/>
    <w:rsid w:val="1E7B0EC0"/>
    <w:rsid w:val="1E926723"/>
    <w:rsid w:val="1ED8342C"/>
    <w:rsid w:val="1EE02D7B"/>
    <w:rsid w:val="1F2E7067"/>
    <w:rsid w:val="1F50104A"/>
    <w:rsid w:val="1F5129CE"/>
    <w:rsid w:val="1FA31A49"/>
    <w:rsid w:val="1FD27BC4"/>
    <w:rsid w:val="1FF34D8B"/>
    <w:rsid w:val="20F4648F"/>
    <w:rsid w:val="215A2928"/>
    <w:rsid w:val="21CB425A"/>
    <w:rsid w:val="224C71F7"/>
    <w:rsid w:val="225221DB"/>
    <w:rsid w:val="22741317"/>
    <w:rsid w:val="23220863"/>
    <w:rsid w:val="23D214F2"/>
    <w:rsid w:val="23D7572A"/>
    <w:rsid w:val="24205115"/>
    <w:rsid w:val="242A5DD5"/>
    <w:rsid w:val="24613884"/>
    <w:rsid w:val="25510AD7"/>
    <w:rsid w:val="25644FE8"/>
    <w:rsid w:val="260F17F4"/>
    <w:rsid w:val="26EA3B85"/>
    <w:rsid w:val="27705D06"/>
    <w:rsid w:val="28140F56"/>
    <w:rsid w:val="28865DE8"/>
    <w:rsid w:val="288F2EFE"/>
    <w:rsid w:val="29154618"/>
    <w:rsid w:val="2AE46EBF"/>
    <w:rsid w:val="2B407556"/>
    <w:rsid w:val="2B7263AD"/>
    <w:rsid w:val="2D6476E5"/>
    <w:rsid w:val="2E2C6834"/>
    <w:rsid w:val="2F542C1E"/>
    <w:rsid w:val="2FB15DAE"/>
    <w:rsid w:val="3066600D"/>
    <w:rsid w:val="31EB5BE7"/>
    <w:rsid w:val="325D642B"/>
    <w:rsid w:val="32F62B96"/>
    <w:rsid w:val="344A1B60"/>
    <w:rsid w:val="346E1E0B"/>
    <w:rsid w:val="351B7F36"/>
    <w:rsid w:val="353D62C7"/>
    <w:rsid w:val="35403160"/>
    <w:rsid w:val="359A307E"/>
    <w:rsid w:val="364F003E"/>
    <w:rsid w:val="369B27E9"/>
    <w:rsid w:val="376A29B0"/>
    <w:rsid w:val="378A63D8"/>
    <w:rsid w:val="37950C89"/>
    <w:rsid w:val="37B224B3"/>
    <w:rsid w:val="3A7B60FF"/>
    <w:rsid w:val="3B0A15FC"/>
    <w:rsid w:val="3C2F4234"/>
    <w:rsid w:val="3C4F036E"/>
    <w:rsid w:val="3D695440"/>
    <w:rsid w:val="3D780732"/>
    <w:rsid w:val="3D7E055E"/>
    <w:rsid w:val="3D882245"/>
    <w:rsid w:val="3D9B1196"/>
    <w:rsid w:val="3DB83E79"/>
    <w:rsid w:val="3E134B4A"/>
    <w:rsid w:val="3E4E5853"/>
    <w:rsid w:val="3E7A2E2A"/>
    <w:rsid w:val="3EDF2CB2"/>
    <w:rsid w:val="3F8045B8"/>
    <w:rsid w:val="3F845655"/>
    <w:rsid w:val="3FDB3D91"/>
    <w:rsid w:val="3FE24C5D"/>
    <w:rsid w:val="40482C85"/>
    <w:rsid w:val="40A520DF"/>
    <w:rsid w:val="41040422"/>
    <w:rsid w:val="415B56A8"/>
    <w:rsid w:val="41840AF3"/>
    <w:rsid w:val="41DF49F3"/>
    <w:rsid w:val="41E44BCD"/>
    <w:rsid w:val="4269000C"/>
    <w:rsid w:val="4286778E"/>
    <w:rsid w:val="43074FDD"/>
    <w:rsid w:val="4314146E"/>
    <w:rsid w:val="43CA31E7"/>
    <w:rsid w:val="43D9684F"/>
    <w:rsid w:val="43E41959"/>
    <w:rsid w:val="43F752A9"/>
    <w:rsid w:val="44752AFA"/>
    <w:rsid w:val="45096606"/>
    <w:rsid w:val="45A90B67"/>
    <w:rsid w:val="462670C8"/>
    <w:rsid w:val="462F3536"/>
    <w:rsid w:val="465B65FA"/>
    <w:rsid w:val="46855B76"/>
    <w:rsid w:val="46C87292"/>
    <w:rsid w:val="470B6145"/>
    <w:rsid w:val="473144AB"/>
    <w:rsid w:val="474552A5"/>
    <w:rsid w:val="478047D1"/>
    <w:rsid w:val="48D86BCC"/>
    <w:rsid w:val="49895ADF"/>
    <w:rsid w:val="49A164CD"/>
    <w:rsid w:val="4A060879"/>
    <w:rsid w:val="4A5E3A9E"/>
    <w:rsid w:val="4A5E572C"/>
    <w:rsid w:val="4ABF33C4"/>
    <w:rsid w:val="4B0642B9"/>
    <w:rsid w:val="4B1D287A"/>
    <w:rsid w:val="4B527752"/>
    <w:rsid w:val="4C050A34"/>
    <w:rsid w:val="4C96578E"/>
    <w:rsid w:val="4D875BEC"/>
    <w:rsid w:val="4DFC2F7C"/>
    <w:rsid w:val="4F1B6016"/>
    <w:rsid w:val="4F2F4165"/>
    <w:rsid w:val="4FBE262B"/>
    <w:rsid w:val="506B50C2"/>
    <w:rsid w:val="50A60305"/>
    <w:rsid w:val="50EE4250"/>
    <w:rsid w:val="51A637F0"/>
    <w:rsid w:val="51C226C2"/>
    <w:rsid w:val="52331D9E"/>
    <w:rsid w:val="531C37D2"/>
    <w:rsid w:val="545C59BA"/>
    <w:rsid w:val="54911CCA"/>
    <w:rsid w:val="553878F3"/>
    <w:rsid w:val="553D09E4"/>
    <w:rsid w:val="559D4889"/>
    <w:rsid w:val="56180E0F"/>
    <w:rsid w:val="5654756A"/>
    <w:rsid w:val="5669446A"/>
    <w:rsid w:val="567D66A3"/>
    <w:rsid w:val="56B022ED"/>
    <w:rsid w:val="574845EA"/>
    <w:rsid w:val="57D7125C"/>
    <w:rsid w:val="58270DD5"/>
    <w:rsid w:val="58425BDC"/>
    <w:rsid w:val="588A5FA1"/>
    <w:rsid w:val="58AE3BF1"/>
    <w:rsid w:val="59A6316C"/>
    <w:rsid w:val="5A081245"/>
    <w:rsid w:val="5A30682D"/>
    <w:rsid w:val="5A860FA9"/>
    <w:rsid w:val="5A983E52"/>
    <w:rsid w:val="5AA9184E"/>
    <w:rsid w:val="5C3862D5"/>
    <w:rsid w:val="5D5552A6"/>
    <w:rsid w:val="5D674541"/>
    <w:rsid w:val="5EFD4B82"/>
    <w:rsid w:val="5F04137C"/>
    <w:rsid w:val="5F0C525B"/>
    <w:rsid w:val="5F1C1554"/>
    <w:rsid w:val="5F3C1AF1"/>
    <w:rsid w:val="5F8815CE"/>
    <w:rsid w:val="5F8F25C5"/>
    <w:rsid w:val="5F907AC2"/>
    <w:rsid w:val="5FF941A8"/>
    <w:rsid w:val="60282A5E"/>
    <w:rsid w:val="602F3CED"/>
    <w:rsid w:val="603A717D"/>
    <w:rsid w:val="604C687B"/>
    <w:rsid w:val="608367C1"/>
    <w:rsid w:val="60971CC0"/>
    <w:rsid w:val="611D45C9"/>
    <w:rsid w:val="61633B40"/>
    <w:rsid w:val="62ED1743"/>
    <w:rsid w:val="62F513F5"/>
    <w:rsid w:val="634B3941"/>
    <w:rsid w:val="63B50067"/>
    <w:rsid w:val="64275947"/>
    <w:rsid w:val="6439706D"/>
    <w:rsid w:val="645E6BE1"/>
    <w:rsid w:val="64957C27"/>
    <w:rsid w:val="655149AB"/>
    <w:rsid w:val="664E16FC"/>
    <w:rsid w:val="665B0C51"/>
    <w:rsid w:val="66AE573C"/>
    <w:rsid w:val="66AF0C49"/>
    <w:rsid w:val="66ED0C0D"/>
    <w:rsid w:val="67ED1271"/>
    <w:rsid w:val="688F43D9"/>
    <w:rsid w:val="68F16099"/>
    <w:rsid w:val="692708E7"/>
    <w:rsid w:val="69A5422C"/>
    <w:rsid w:val="6A2836F3"/>
    <w:rsid w:val="6A523116"/>
    <w:rsid w:val="6A967039"/>
    <w:rsid w:val="6ACA0628"/>
    <w:rsid w:val="6AE24FE6"/>
    <w:rsid w:val="6AEE215C"/>
    <w:rsid w:val="6B186407"/>
    <w:rsid w:val="6B546546"/>
    <w:rsid w:val="6BD620BB"/>
    <w:rsid w:val="6BF905D1"/>
    <w:rsid w:val="6C2C673B"/>
    <w:rsid w:val="6C867292"/>
    <w:rsid w:val="6CE17E70"/>
    <w:rsid w:val="6D2E042E"/>
    <w:rsid w:val="6D57575C"/>
    <w:rsid w:val="6D975301"/>
    <w:rsid w:val="6E0B271A"/>
    <w:rsid w:val="6E186783"/>
    <w:rsid w:val="6E701553"/>
    <w:rsid w:val="6E8D663F"/>
    <w:rsid w:val="6EC402E8"/>
    <w:rsid w:val="6EE34CB1"/>
    <w:rsid w:val="6F047644"/>
    <w:rsid w:val="703A29CC"/>
    <w:rsid w:val="704508E5"/>
    <w:rsid w:val="707B1974"/>
    <w:rsid w:val="711F1F5A"/>
    <w:rsid w:val="7194178F"/>
    <w:rsid w:val="728621FC"/>
    <w:rsid w:val="72A81AFA"/>
    <w:rsid w:val="72C458EB"/>
    <w:rsid w:val="72DC21BF"/>
    <w:rsid w:val="731A3BDF"/>
    <w:rsid w:val="737C66E7"/>
    <w:rsid w:val="74C81318"/>
    <w:rsid w:val="74F81C5C"/>
    <w:rsid w:val="75205073"/>
    <w:rsid w:val="75821FAC"/>
    <w:rsid w:val="75B63268"/>
    <w:rsid w:val="75BB1D4B"/>
    <w:rsid w:val="7737167D"/>
    <w:rsid w:val="773A759B"/>
    <w:rsid w:val="77EC2636"/>
    <w:rsid w:val="77FC57CA"/>
    <w:rsid w:val="78081232"/>
    <w:rsid w:val="78505037"/>
    <w:rsid w:val="786A3105"/>
    <w:rsid w:val="78BF6FA7"/>
    <w:rsid w:val="78FD4162"/>
    <w:rsid w:val="791B6F56"/>
    <w:rsid w:val="798219E8"/>
    <w:rsid w:val="79CE2B07"/>
    <w:rsid w:val="7A3F2E89"/>
    <w:rsid w:val="7A6413DB"/>
    <w:rsid w:val="7A6604A0"/>
    <w:rsid w:val="7B08121D"/>
    <w:rsid w:val="7BD254C9"/>
    <w:rsid w:val="7BF65405"/>
    <w:rsid w:val="7D2C6F0C"/>
    <w:rsid w:val="7DB361DB"/>
    <w:rsid w:val="7E6A3EA6"/>
    <w:rsid w:val="7EA473E9"/>
    <w:rsid w:val="7EF830C8"/>
    <w:rsid w:val="7FAA5C04"/>
  </w:rsids>
  <m:mathPr>
    <m:mathFont m:val="Cambria Math"/>
    <m:brkBin m:val="before"/>
    <m:brkBinSub m:val="--"/>
    <m:smallFrac m:val="0"/>
    <m:dispDef/>
    <m:lMargin m:val="0"/>
    <m:rMargin m:val="0"/>
    <m:defJc m:val="centerGroup"/>
    <m:wrapIndent m:val="1440"/>
    <m:intLim m:val="subSup"/>
    <m:naryLim m:val="undOvr"/>
  </m:mathPr>
  <w:themeFontLang w:val="sv-SE"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59"/>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basedOn w:val="1"/>
    <w:link w:val="109"/>
    <w:qFormat/>
    <w:uiPriority w:val="0"/>
    <w:pPr>
      <w:widowControl w:val="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overflowPunct w:val="0"/>
      <w:autoSpaceDE w:val="0"/>
      <w:autoSpaceDN w:val="0"/>
      <w:adjustRightInd w:val="0"/>
      <w:spacing w:after="120"/>
      <w:ind w:left="1701" w:hanging="1701"/>
      <w:textAlignment w:val="baseline"/>
    </w:pPr>
    <w:rPr>
      <w:rFonts w:ascii="Arial" w:hAnsi="Arial" w:eastAsia="Times New Roman"/>
      <w:b/>
      <w:lang w:eastAsia="zh-CN"/>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character" w:customStyle="1" w:styleId="59">
    <w:name w:val="批注框文本 Char"/>
    <w:link w:val="37"/>
    <w:qFormat/>
    <w:uiPriority w:val="0"/>
    <w:rPr>
      <w:sz w:val="18"/>
      <w:szCs w:val="18"/>
      <w:lang w:val="en-GB" w:eastAsia="en-US"/>
    </w:rPr>
  </w:style>
  <w:style w:type="paragraph" w:customStyle="1" w:styleId="60">
    <w:name w:val="EQ"/>
    <w:basedOn w:val="1"/>
    <w:next w:val="1"/>
    <w:link w:val="151"/>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0"/>
    <w:rPr>
      <w:b/>
    </w:rPr>
  </w:style>
  <w:style w:type="paragraph" w:customStyle="1" w:styleId="70">
    <w:name w:val="TAC"/>
    <w:basedOn w:val="68"/>
    <w:link w:val="113"/>
    <w:qFormat/>
    <w:uiPriority w:val="0"/>
    <w:pPr>
      <w:jc w:val="center"/>
    </w:pPr>
  </w:style>
  <w:style w:type="paragraph" w:customStyle="1" w:styleId="71">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1"/>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3">
    <w:name w:val="TAN"/>
    <w:basedOn w:val="68"/>
    <w:link w:val="115"/>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5">
    <w:name w:val="TF"/>
    <w:basedOn w:val="78"/>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0"/>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Char"/>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Char"/>
    <w:link w:val="2"/>
    <w:qFormat/>
    <w:uiPriority w:val="0"/>
    <w:rPr>
      <w:rFonts w:ascii="Arial" w:hAnsi="Arial"/>
      <w:sz w:val="36"/>
      <w:lang w:eastAsia="en-US" w:bidi="ar-SA"/>
    </w:rPr>
  </w:style>
  <w:style w:type="character" w:customStyle="1" w:styleId="109">
    <w:name w:val="页眉 Char"/>
    <w:link w:val="39"/>
    <w:qFormat/>
    <w:uiPriority w:val="0"/>
    <w:rPr>
      <w:rFonts w:ascii="Arial" w:hAnsi="Arial"/>
      <w:b/>
      <w:sz w:val="18"/>
      <w:lang w:val="en-GB" w:bidi="ar-SA"/>
    </w:rPr>
  </w:style>
  <w:style w:type="character" w:customStyle="1" w:styleId="110">
    <w:name w:val="批注文字 Char"/>
    <w:link w:val="30"/>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修订1"/>
    <w:hidden/>
    <w:semiHidden/>
    <w:qFormat/>
    <w:uiPriority w:val="99"/>
    <w:rPr>
      <w:rFonts w:ascii="Times New Roman" w:hAnsi="Times New Roman" w:eastAsia="宋体" w:cs="Times New Roman"/>
      <w:lang w:val="en-GB" w:eastAsia="en-US" w:bidi="ar-SA"/>
    </w:rPr>
  </w:style>
  <w:style w:type="character" w:customStyle="1" w:styleId="113">
    <w:name w:val="TAC Char"/>
    <w:link w:val="70"/>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3"/>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标题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6"/>
    <w:qFormat/>
    <w:uiPriority w:val="0"/>
    <w:rPr>
      <w:lang w:val="en-GB"/>
    </w:rPr>
  </w:style>
  <w:style w:type="character" w:customStyle="1" w:styleId="122">
    <w:name w:val="题注 Char"/>
    <w:link w:val="28"/>
    <w:qFormat/>
    <w:uiPriority w:val="0"/>
    <w:rPr>
      <w:b/>
      <w:lang w:val="en-GB"/>
    </w:rPr>
  </w:style>
  <w:style w:type="character" w:customStyle="1" w:styleId="123">
    <w:name w:val="标题 3 Char"/>
    <w:link w:val="4"/>
    <w:qFormat/>
    <w:uiPriority w:val="0"/>
    <w:rPr>
      <w:rFonts w:ascii="Arial" w:hAnsi="Arial"/>
      <w:sz w:val="28"/>
      <w:lang w:eastAsia="en-US"/>
    </w:rPr>
  </w:style>
  <w:style w:type="character" w:customStyle="1" w:styleId="124">
    <w:name w:val="正文文本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纯文本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批注主题 Char1"/>
    <w:link w:val="49"/>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标题 4 Char"/>
    <w:basedOn w:val="52"/>
    <w:link w:val="5"/>
    <w:qFormat/>
    <w:uiPriority w:val="0"/>
    <w:rPr>
      <w:rFonts w:ascii="Arial" w:hAnsi="Arial"/>
      <w:sz w:val="24"/>
      <w:lang w:eastAsia="en-US"/>
    </w:rPr>
  </w:style>
  <w:style w:type="character" w:customStyle="1" w:styleId="137">
    <w:name w:val="标题 5 Char"/>
    <w:basedOn w:val="52"/>
    <w:link w:val="6"/>
    <w:qFormat/>
    <w:uiPriority w:val="0"/>
    <w:rPr>
      <w:rFonts w:ascii="Arial" w:hAnsi="Arial"/>
      <w:sz w:val="22"/>
      <w:lang w:eastAsia="en-US"/>
    </w:rPr>
  </w:style>
  <w:style w:type="character" w:customStyle="1" w:styleId="138">
    <w:name w:val="标题 6 Char"/>
    <w:basedOn w:val="52"/>
    <w:link w:val="7"/>
    <w:qFormat/>
    <w:uiPriority w:val="0"/>
    <w:rPr>
      <w:rFonts w:ascii="Arial" w:hAnsi="Arial"/>
      <w:lang w:eastAsia="en-US"/>
    </w:rPr>
  </w:style>
  <w:style w:type="character" w:customStyle="1" w:styleId="139">
    <w:name w:val="标题 7 Char"/>
    <w:basedOn w:val="52"/>
    <w:link w:val="9"/>
    <w:qFormat/>
    <w:uiPriority w:val="0"/>
    <w:rPr>
      <w:rFonts w:ascii="Arial" w:hAnsi="Arial"/>
      <w:lang w:eastAsia="en-US"/>
    </w:rPr>
  </w:style>
  <w:style w:type="character" w:customStyle="1" w:styleId="140">
    <w:name w:val="标题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Char"/>
    <w:basedOn w:val="52"/>
    <w:link w:val="36"/>
    <w:qFormat/>
    <w:uiPriority w:val="0"/>
    <w:rPr>
      <w:rFonts w:eastAsia="Yu Mincho"/>
      <w:lang w:val="en-GB" w:eastAsia="en-US"/>
    </w:rPr>
  </w:style>
  <w:style w:type="character" w:customStyle="1" w:styleId="145">
    <w:name w:val="脚注文本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60"/>
    <w:qFormat/>
    <w:locked/>
    <w:uiPriority w:val="0"/>
    <w:rPr>
      <w:lang w:val="en-GB" w:eastAsia="en-US"/>
    </w:rPr>
  </w:style>
  <w:style w:type="character" w:customStyle="1" w:styleId="152">
    <w:name w:val="PL Char"/>
    <w:link w:val="66"/>
    <w:qFormat/>
    <w:uiPriority w:val="0"/>
    <w:rPr>
      <w:rFonts w:ascii="Courier New" w:hAnsi="Courier New"/>
      <w:sz w:val="16"/>
      <w:lang w:val="en-GB" w:eastAsia="en-US"/>
    </w:rPr>
  </w:style>
  <w:style w:type="character" w:customStyle="1" w:styleId="153">
    <w:name w:val="列出段落 Char"/>
    <w:link w:val="150"/>
    <w:qFormat/>
    <w:locked/>
    <w:uiPriority w:val="34"/>
    <w:rPr>
      <w:rFonts w:eastAsia="MS Mincho"/>
      <w:lang w:val="en-GB" w:eastAsia="en-US"/>
    </w:rPr>
  </w:style>
  <w:style w:type="character" w:customStyle="1" w:styleId="154">
    <w:name w:val="文稿抬头"/>
    <w:qFormat/>
    <w:uiPriority w:val="0"/>
    <w:rPr>
      <w:rFonts w:eastAsia="MS Mincho"/>
      <w:b/>
      <w:bCs/>
      <w:sz w:val="24"/>
    </w:rPr>
  </w:style>
  <w:style w:type="paragraph" w:customStyle="1" w:styleId="155">
    <w:name w:val="Proposal"/>
    <w:basedOn w:val="31"/>
    <w:qFormat/>
    <w:uiPriority w:val="0"/>
    <w:pPr>
      <w:numPr>
        <w:ilvl w:val="0"/>
        <w:numId w:val="2"/>
      </w:numPr>
      <w:tabs>
        <w:tab w:val="left" w:pos="1701"/>
      </w:tabs>
      <w:overflowPunct w:val="0"/>
      <w:autoSpaceDE w:val="0"/>
      <w:autoSpaceDN w:val="0"/>
      <w:adjustRightInd w:val="0"/>
      <w:spacing w:after="120"/>
      <w:jc w:val="both"/>
      <w:textAlignment w:val="baseline"/>
    </w:pPr>
    <w:rPr>
      <w:rFonts w:ascii="Arial" w:hAnsi="Arial" w:eastAsia="Times New Roman"/>
      <w:b/>
      <w:bCs/>
      <w:lang w:eastAsia="zh-CN"/>
    </w:rPr>
  </w:style>
  <w:style w:type="paragraph" w:customStyle="1" w:styleId="156">
    <w:name w:val="수정1"/>
    <w:hidden/>
    <w:semiHidden/>
    <w:qFormat/>
    <w:uiPriority w:val="99"/>
    <w:rPr>
      <w:rFonts w:ascii="Times New Roman" w:hAnsi="Times New Roman" w:eastAsia="宋体" w:cs="Times New Roman"/>
      <w:lang w:val="en-GB" w:eastAsia="en-US" w:bidi="ar-SA"/>
    </w:rPr>
  </w:style>
  <w:style w:type="paragraph" w:customStyle="1" w:styleId="157">
    <w:name w:val="Observation"/>
    <w:basedOn w:val="155"/>
    <w:qFormat/>
    <w:uiPriority w:val="0"/>
    <w:pPr>
      <w:numPr>
        <w:ilvl w:val="0"/>
        <w:numId w:val="3"/>
      </w:numPr>
    </w:pPr>
    <w:rPr>
      <w:lang w:eastAsia="ja-JP"/>
    </w:rPr>
  </w:style>
  <w:style w:type="paragraph" w:customStyle="1" w:styleId="158">
    <w:name w:val="Revision1"/>
    <w:hidden/>
    <w:unhideWhenUsed/>
    <w:qFormat/>
    <w:uiPriority w:val="99"/>
    <w:rPr>
      <w:rFonts w:ascii="Times New Roman" w:hAnsi="Times New Roman" w:eastAsia="宋体" w:cs="Times New Roman"/>
      <w:lang w:val="en-GB" w:eastAsia="en-US" w:bidi="ar-SA"/>
    </w:rPr>
  </w:style>
  <w:style w:type="paragraph" w:customStyle="1" w:styleId="15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31E06-5074-4822-BF86-67D00AAA4DF9}">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12</Pages>
  <Words>9328</Words>
  <Characters>53170</Characters>
  <Lines>443</Lines>
  <Paragraphs>124</Paragraphs>
  <TotalTime>8</TotalTime>
  <ScaleCrop>false</ScaleCrop>
  <LinksUpToDate>false</LinksUpToDate>
  <CharactersWithSpaces>62374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2025-04-02T22:00:00Z</dcterms:created>
  <dc:creator>양윤오/책임연구원/미래기술센터 C&amp;M표준(연)5G무선통신표준Task(yoonoh.yang@lge.com)</dc:creator>
  <cp:lastModifiedBy>CMCC-shiyuan-0520</cp:lastModifiedBy>
  <cp:lastPrinted>2019-04-25T01:09:00Z</cp:lastPrinted>
  <dcterms:modified xsi:type="dcterms:W3CDTF">2025-05-23T06:12:33Z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2052-12.8.2.18205</vt:lpwstr>
  </property>
  <property fmtid="{D5CDD505-2E9C-101B-9397-08002B2CF9AE}" pid="17" name="ICV">
    <vt:lpwstr>BFE823C913CC4F9EB2052968C5C2C9E6_13</vt:lpwstr>
  </property>
  <property fmtid="{D5CDD505-2E9C-101B-9397-08002B2CF9AE}" pid="18" name="GrammarlyDocumentId">
    <vt:lpwstr>b8c289530a967d0ab14d7b1c998a73c36b73bbdae3c26afdcd3959be207e48f5</vt:lpwstr>
  </property>
</Properties>
</file>